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020" w:rsidRPr="00E57020" w:rsidRDefault="00E57020" w:rsidP="00E57020">
      <w:pPr>
        <w:spacing w:after="0" w:line="360" w:lineRule="auto"/>
        <w:ind w:left="284"/>
        <w:jc w:val="both"/>
        <w:rPr>
          <w:rFonts w:ascii="Palatino Linotype" w:hAnsi="Palatino Linotype" w:cs="Arial"/>
          <w:sz w:val="24"/>
          <w:szCs w:val="24"/>
        </w:rPr>
      </w:pPr>
      <w:bookmarkStart w:id="0" w:name="_GoBack"/>
      <w:bookmarkEnd w:id="0"/>
      <w:r w:rsidRPr="00E57020">
        <w:rPr>
          <w:rFonts w:ascii="Palatino Linotype" w:hAnsi="Palatino Linotype" w:cs="Arial"/>
          <w:b/>
          <w:sz w:val="24"/>
          <w:szCs w:val="24"/>
        </w:rPr>
        <w:t xml:space="preserve">VOTO PARTICULAR DEL COMISIONADO JOSÉ GUADALUPE LUNA HERNÁNDEZ EN EL RECURSO DE REVISIÓN </w:t>
      </w:r>
      <w:r>
        <w:rPr>
          <w:rFonts w:ascii="Palatino Linotype" w:hAnsi="Palatino Linotype" w:cs="Arial"/>
          <w:b/>
          <w:sz w:val="24"/>
          <w:szCs w:val="24"/>
        </w:rPr>
        <w:t>03984</w:t>
      </w:r>
      <w:r w:rsidRPr="00E57020">
        <w:rPr>
          <w:rFonts w:ascii="Palatino Linotype" w:hAnsi="Palatino Linotype" w:cs="Arial"/>
          <w:b/>
          <w:sz w:val="24"/>
          <w:szCs w:val="24"/>
        </w:rPr>
        <w:t>/INFOEM/IP/RR/2018.</w:t>
      </w:r>
    </w:p>
    <w:p w:rsidR="00E57020" w:rsidRPr="00E57020" w:rsidRDefault="00E57020" w:rsidP="00E57020">
      <w:pPr>
        <w:spacing w:after="0" w:line="360" w:lineRule="auto"/>
        <w:ind w:left="284"/>
        <w:jc w:val="both"/>
        <w:rPr>
          <w:rFonts w:ascii="Palatino Linotype" w:hAnsi="Palatino Linotype" w:cs="Arial"/>
          <w:sz w:val="24"/>
          <w:szCs w:val="24"/>
        </w:rPr>
      </w:pPr>
    </w:p>
    <w:p w:rsidR="00E57020" w:rsidRPr="00E57020" w:rsidRDefault="00E57020" w:rsidP="00E57020">
      <w:pPr>
        <w:spacing w:after="0" w:line="360" w:lineRule="auto"/>
        <w:ind w:left="284" w:right="49"/>
        <w:jc w:val="both"/>
        <w:rPr>
          <w:rFonts w:ascii="Palatino Linotype" w:eastAsia="Calibri" w:hAnsi="Palatino Linotype" w:cs="Times New Roman"/>
          <w:sz w:val="24"/>
          <w:szCs w:val="24"/>
        </w:rPr>
      </w:pPr>
      <w:r w:rsidRPr="00E57020">
        <w:rPr>
          <w:rFonts w:ascii="Palatino Linotype" w:eastAsia="Calibri" w:hAnsi="Palatino Linotype" w:cs="Times New Roman"/>
          <w:sz w:val="24"/>
          <w:szCs w:val="24"/>
        </w:rPr>
        <w:t xml:space="preserve">La fotografía en el título profesional, es un requisito que debe reunir el interesado a quien se le expedirán y constituye un elemento indispensable de identidad de la persona a quien se le expide. </w:t>
      </w:r>
    </w:p>
    <w:p w:rsidR="00E57020" w:rsidRPr="00E57020" w:rsidRDefault="00E57020" w:rsidP="00E57020">
      <w:pPr>
        <w:spacing w:line="360" w:lineRule="auto"/>
        <w:ind w:left="284" w:right="49"/>
        <w:jc w:val="both"/>
        <w:rPr>
          <w:rFonts w:ascii="Palatino Linotype" w:eastAsia="Calibri" w:hAnsi="Palatino Linotype" w:cs="Times New Roman"/>
          <w:sz w:val="24"/>
          <w:szCs w:val="24"/>
        </w:rPr>
      </w:pPr>
    </w:p>
    <w:p w:rsidR="00E57020" w:rsidRPr="00E57020" w:rsidRDefault="00E57020" w:rsidP="00E57020">
      <w:pPr>
        <w:spacing w:after="0" w:line="360" w:lineRule="auto"/>
        <w:ind w:left="284" w:right="49"/>
        <w:jc w:val="both"/>
        <w:rPr>
          <w:rFonts w:ascii="Palatino Linotype" w:eastAsia="Calibri" w:hAnsi="Palatino Linotype" w:cs="Times New Roman"/>
          <w:sz w:val="24"/>
          <w:szCs w:val="24"/>
        </w:rPr>
      </w:pPr>
      <w:r w:rsidRPr="00E57020">
        <w:rPr>
          <w:rFonts w:ascii="Palatino Linotype" w:eastAsia="Calibri" w:hAnsi="Palatino Linotype" w:cs="Times New Roman"/>
          <w:sz w:val="24"/>
          <w:szCs w:val="24"/>
        </w:rPr>
        <w:t xml:space="preserve">Documentos como el título profesional en el ámbito laboral tiene efectos de patente para el ejercicio profesional y para su identidad en sus actividades profesionales. </w:t>
      </w:r>
    </w:p>
    <w:p w:rsidR="00E57020" w:rsidRPr="00E57020" w:rsidRDefault="00E57020" w:rsidP="00E57020">
      <w:pPr>
        <w:spacing w:line="360" w:lineRule="auto"/>
        <w:ind w:left="284" w:right="49"/>
        <w:jc w:val="both"/>
        <w:rPr>
          <w:rFonts w:ascii="Palatino Linotype" w:eastAsia="Calibri" w:hAnsi="Palatino Linotype" w:cs="Times New Roman"/>
          <w:sz w:val="24"/>
          <w:szCs w:val="24"/>
        </w:rPr>
      </w:pPr>
    </w:p>
    <w:p w:rsidR="00E57020" w:rsidRPr="00E57020" w:rsidRDefault="00E57020" w:rsidP="00E57020">
      <w:pPr>
        <w:spacing w:after="0" w:line="360" w:lineRule="auto"/>
        <w:ind w:left="284"/>
        <w:jc w:val="both"/>
        <w:rPr>
          <w:rFonts w:ascii="Palatino Linotype" w:hAnsi="Palatino Linotype" w:cs="Arial"/>
          <w:sz w:val="24"/>
          <w:szCs w:val="24"/>
        </w:rPr>
      </w:pPr>
      <w:r w:rsidRPr="00E57020">
        <w:rPr>
          <w:rFonts w:ascii="Palatino Linotype" w:eastAsia="Calibri" w:hAnsi="Palatino Linotype" w:cs="Times New Roman"/>
          <w:sz w:val="24"/>
          <w:szCs w:val="24"/>
        </w:rPr>
        <w:t>El acceder a la información relacionada con documentos que acredite la experiencia académica, de quien ocupe cargos en la administración pública o de quien emita y/o ejecute actos de autoridad actos de autoridad, permitirá a la ciudadanía conocer con toda certeza si los servidores públicos asignados en los cargos cuenta con la idoneidad de desempeñarlos así como la capacidad de desarrollar las actividades y atribuciones que se deriven de este.</w:t>
      </w:r>
    </w:p>
    <w:p w:rsidR="00E57020" w:rsidRPr="00E57020" w:rsidRDefault="00E57020" w:rsidP="00E57020">
      <w:pPr>
        <w:spacing w:after="0" w:line="360" w:lineRule="auto"/>
        <w:ind w:left="284"/>
        <w:jc w:val="both"/>
        <w:rPr>
          <w:rFonts w:ascii="Palatino Linotype" w:hAnsi="Palatino Linotype" w:cs="Arial"/>
          <w:sz w:val="24"/>
          <w:szCs w:val="24"/>
        </w:rPr>
      </w:pPr>
    </w:p>
    <w:p w:rsidR="00E57020" w:rsidRPr="00E57020" w:rsidRDefault="00E57020" w:rsidP="00E57020">
      <w:pPr>
        <w:spacing w:after="0" w:line="360" w:lineRule="auto"/>
        <w:ind w:left="284" w:right="49"/>
        <w:jc w:val="both"/>
        <w:rPr>
          <w:rFonts w:ascii="Palatino Linotype" w:eastAsia="Calibri" w:hAnsi="Palatino Linotype" w:cs="Times New Roman"/>
          <w:sz w:val="24"/>
          <w:szCs w:val="24"/>
        </w:rPr>
      </w:pPr>
      <w:r w:rsidRPr="00E57020">
        <w:rPr>
          <w:rFonts w:ascii="Palatino Linotype" w:eastAsia="Calibri" w:hAnsi="Palatino Linotype" w:cs="Times New Roman"/>
          <w:sz w:val="24"/>
          <w:szCs w:val="24"/>
        </w:rPr>
        <w:t xml:space="preserve">Cuando se está en presencia de una probable colisión del derecho de acceso a la información pública y el derecho a la protección de datos personales, es necesario destacar que ambos cuentan con el mismo valor toda vez que son concebidos en la Constitución Política de los Estados Unidos Mexicanos, por lo que,  uno no puede prevalecer frente al otro. </w:t>
      </w:r>
    </w:p>
    <w:p w:rsidR="00E57020" w:rsidRPr="00E57020" w:rsidRDefault="00E57020" w:rsidP="00E57020">
      <w:pPr>
        <w:spacing w:line="360" w:lineRule="auto"/>
        <w:ind w:left="284" w:right="49"/>
        <w:jc w:val="both"/>
        <w:rPr>
          <w:rFonts w:ascii="Palatino Linotype" w:eastAsia="Calibri" w:hAnsi="Palatino Linotype" w:cs="Times New Roman"/>
          <w:sz w:val="24"/>
          <w:szCs w:val="24"/>
        </w:rPr>
      </w:pPr>
    </w:p>
    <w:p w:rsidR="00E57020" w:rsidRPr="00E57020" w:rsidRDefault="00E57020" w:rsidP="00E57020">
      <w:pPr>
        <w:spacing w:after="0" w:line="360" w:lineRule="auto"/>
        <w:ind w:left="284" w:right="49"/>
        <w:jc w:val="both"/>
        <w:rPr>
          <w:rFonts w:ascii="Palatino Linotype" w:eastAsia="Calibri" w:hAnsi="Palatino Linotype" w:cs="Times New Roman"/>
          <w:sz w:val="24"/>
          <w:szCs w:val="24"/>
        </w:rPr>
      </w:pPr>
      <w:r w:rsidRPr="00E57020">
        <w:rPr>
          <w:rFonts w:ascii="Palatino Linotype" w:eastAsia="Calibri" w:hAnsi="Palatino Linotype" w:cs="Times New Roman"/>
          <w:sz w:val="24"/>
          <w:szCs w:val="24"/>
        </w:rPr>
        <w:t xml:space="preserve">Para una correcta ponderación de derechos de ambos derechos, es necesario realizar el juicio de ponderación que se rige por la exigencia y observancia de tres </w:t>
      </w:r>
      <w:r w:rsidRPr="00E57020">
        <w:rPr>
          <w:rFonts w:ascii="Palatino Linotype" w:eastAsia="Calibri" w:hAnsi="Palatino Linotype" w:cs="Times New Roman"/>
          <w:sz w:val="24"/>
          <w:szCs w:val="24"/>
        </w:rPr>
        <w:lastRenderedPageBreak/>
        <w:t xml:space="preserve">momentos: el juicio de idoneidad, el juicio de necesidad y el juicio de estricta proporcionalidad. </w:t>
      </w:r>
    </w:p>
    <w:p w:rsidR="00E57020" w:rsidRPr="00E57020" w:rsidRDefault="00E57020" w:rsidP="00E57020">
      <w:pPr>
        <w:spacing w:after="0" w:line="360" w:lineRule="auto"/>
        <w:ind w:left="284"/>
        <w:jc w:val="both"/>
        <w:rPr>
          <w:rFonts w:ascii="Palatino Linotype" w:hAnsi="Palatino Linotype" w:cs="Arial"/>
          <w:sz w:val="24"/>
          <w:szCs w:val="24"/>
        </w:rPr>
      </w:pPr>
    </w:p>
    <w:p w:rsidR="00E57020" w:rsidRDefault="00E57020" w:rsidP="00E57020">
      <w:pPr>
        <w:spacing w:after="0" w:line="360" w:lineRule="auto"/>
        <w:ind w:left="284"/>
        <w:jc w:val="both"/>
        <w:rPr>
          <w:rFonts w:ascii="Palatino Linotype" w:hAnsi="Palatino Linotype" w:cs="Arial"/>
          <w:sz w:val="24"/>
          <w:szCs w:val="24"/>
        </w:rPr>
      </w:pPr>
      <w:r w:rsidRPr="00E57020">
        <w:rPr>
          <w:rFonts w:ascii="Palatino Linotype" w:hAnsi="Palatino Linotype" w:cs="Arial"/>
          <w:sz w:val="24"/>
          <w:szCs w:val="24"/>
        </w:rPr>
        <w:t>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57020" w:rsidRDefault="00E57020" w:rsidP="00E57020">
      <w:pPr>
        <w:spacing w:after="0" w:line="360" w:lineRule="auto"/>
        <w:ind w:left="284"/>
        <w:jc w:val="both"/>
        <w:rPr>
          <w:rFonts w:ascii="Palatino Linotype" w:hAnsi="Palatino Linotype" w:cs="Arial"/>
          <w:sz w:val="24"/>
          <w:szCs w:val="24"/>
        </w:rPr>
      </w:pPr>
    </w:p>
    <w:p w:rsidR="00E57020" w:rsidRPr="00E57020" w:rsidRDefault="00E57020" w:rsidP="00E57020">
      <w:pPr>
        <w:spacing w:after="0" w:line="360" w:lineRule="auto"/>
        <w:ind w:left="284"/>
        <w:jc w:val="both"/>
        <w:rPr>
          <w:rFonts w:ascii="Palatino Linotype" w:hAnsi="Palatino Linotype" w:cs="Arial"/>
          <w:sz w:val="24"/>
          <w:szCs w:val="24"/>
        </w:rPr>
      </w:pPr>
    </w:p>
    <w:p w:rsidR="00E57020" w:rsidRPr="00E57020" w:rsidRDefault="00E57020" w:rsidP="00E57020">
      <w:pPr>
        <w:spacing w:after="0" w:line="360" w:lineRule="auto"/>
        <w:ind w:left="284"/>
        <w:jc w:val="both"/>
        <w:rPr>
          <w:rFonts w:ascii="Palatino Linotype" w:hAnsi="Palatino Linotype" w:cs="Arial"/>
          <w:sz w:val="24"/>
          <w:szCs w:val="24"/>
        </w:rPr>
      </w:pPr>
    </w:p>
    <w:p w:rsidR="00E57020" w:rsidRPr="00E57020" w:rsidRDefault="00E57020" w:rsidP="00E57020">
      <w:pPr>
        <w:spacing w:after="0" w:line="360" w:lineRule="auto"/>
        <w:ind w:left="284"/>
        <w:jc w:val="both"/>
        <w:rPr>
          <w:rFonts w:ascii="Palatino Linotype" w:hAnsi="Palatino Linotype" w:cs="Arial"/>
          <w:sz w:val="24"/>
          <w:szCs w:val="24"/>
        </w:rPr>
      </w:pPr>
      <w:r w:rsidRPr="00E57020">
        <w:rPr>
          <w:rFonts w:ascii="Palatino Linotype" w:hAnsi="Palatino Linotype" w:cs="Arial"/>
          <w:b/>
          <w:sz w:val="24"/>
          <w:szCs w:val="24"/>
        </w:rPr>
        <w:t>Índice</w:t>
      </w:r>
    </w:p>
    <w:sdt>
      <w:sdtPr>
        <w:rPr>
          <w:rFonts w:ascii="Palatino Linotype" w:hAnsi="Palatino Linotype"/>
          <w:sz w:val="24"/>
          <w:szCs w:val="24"/>
          <w:lang w:val="es-ES"/>
        </w:rPr>
        <w:id w:val="-1173722687"/>
        <w:docPartObj>
          <w:docPartGallery w:val="Table of Contents"/>
          <w:docPartUnique/>
        </w:docPartObj>
      </w:sdtPr>
      <w:sdtEndPr>
        <w:rPr>
          <w:b/>
          <w:bCs/>
        </w:rPr>
      </w:sdtEndPr>
      <w:sdtContent>
        <w:p w:rsidR="00E57020" w:rsidRPr="00E57020" w:rsidRDefault="00E57020" w:rsidP="00E57020">
          <w:pPr>
            <w:keepNext/>
            <w:keepLines/>
            <w:spacing w:before="240" w:after="0" w:line="360" w:lineRule="auto"/>
            <w:rPr>
              <w:rFonts w:ascii="Palatino Linotype" w:eastAsiaTheme="majorEastAsia" w:hAnsi="Palatino Linotype" w:cstheme="majorBidi"/>
              <w:color w:val="2E74B5" w:themeColor="accent1" w:themeShade="BF"/>
              <w:sz w:val="24"/>
              <w:szCs w:val="24"/>
              <w:lang w:eastAsia="es-MX"/>
            </w:rPr>
          </w:pPr>
        </w:p>
        <w:p w:rsidR="00266525" w:rsidRDefault="00E57020">
          <w:pPr>
            <w:pStyle w:val="TDC1"/>
            <w:tabs>
              <w:tab w:val="left" w:pos="440"/>
              <w:tab w:val="right" w:leader="dot" w:pos="8828"/>
            </w:tabs>
            <w:rPr>
              <w:rFonts w:eastAsiaTheme="minorEastAsia"/>
              <w:noProof/>
              <w:lang w:eastAsia="es-MX"/>
            </w:rPr>
          </w:pPr>
          <w:r w:rsidRPr="00E57020">
            <w:rPr>
              <w:rFonts w:ascii="Palatino Linotype" w:hAnsi="Palatino Linotype"/>
              <w:sz w:val="24"/>
              <w:szCs w:val="24"/>
            </w:rPr>
            <w:fldChar w:fldCharType="begin"/>
          </w:r>
          <w:r w:rsidRPr="00E57020">
            <w:rPr>
              <w:rFonts w:ascii="Palatino Linotype" w:hAnsi="Palatino Linotype"/>
              <w:sz w:val="24"/>
              <w:szCs w:val="24"/>
            </w:rPr>
            <w:instrText xml:space="preserve"> TOC \o "1-3" \h \z \u </w:instrText>
          </w:r>
          <w:r w:rsidRPr="00E57020">
            <w:rPr>
              <w:rFonts w:ascii="Palatino Linotype" w:hAnsi="Palatino Linotype"/>
              <w:sz w:val="24"/>
              <w:szCs w:val="24"/>
            </w:rPr>
            <w:fldChar w:fldCharType="separate"/>
          </w:r>
          <w:hyperlink w:anchor="_Toc532831824" w:history="1">
            <w:r w:rsidR="00266525" w:rsidRPr="000D75A0">
              <w:rPr>
                <w:rStyle w:val="Hipervnculo"/>
                <w:rFonts w:ascii="Palatino Linotype" w:eastAsiaTheme="majorEastAsia" w:hAnsi="Palatino Linotype" w:cstheme="majorBidi"/>
                <w:b/>
                <w:noProof/>
              </w:rPr>
              <w:t>I.</w:t>
            </w:r>
            <w:r w:rsidR="00266525">
              <w:rPr>
                <w:rFonts w:eastAsiaTheme="minorEastAsia"/>
                <w:noProof/>
                <w:lang w:eastAsia="es-MX"/>
              </w:rPr>
              <w:tab/>
            </w:r>
            <w:r w:rsidR="00266525" w:rsidRPr="000D75A0">
              <w:rPr>
                <w:rStyle w:val="Hipervnculo"/>
                <w:rFonts w:ascii="Palatino Linotype" w:eastAsiaTheme="majorEastAsia" w:hAnsi="Palatino Linotype" w:cstheme="majorBidi"/>
                <w:b/>
                <w:noProof/>
              </w:rPr>
              <w:t>Consideraciones Generales</w:t>
            </w:r>
            <w:r w:rsidR="00266525">
              <w:rPr>
                <w:noProof/>
                <w:webHidden/>
              </w:rPr>
              <w:tab/>
            </w:r>
            <w:r w:rsidR="00266525">
              <w:rPr>
                <w:noProof/>
                <w:webHidden/>
              </w:rPr>
              <w:fldChar w:fldCharType="begin"/>
            </w:r>
            <w:r w:rsidR="00266525">
              <w:rPr>
                <w:noProof/>
                <w:webHidden/>
              </w:rPr>
              <w:instrText xml:space="preserve"> PAGEREF _Toc532831824 \h </w:instrText>
            </w:r>
            <w:r w:rsidR="00266525">
              <w:rPr>
                <w:noProof/>
                <w:webHidden/>
              </w:rPr>
            </w:r>
            <w:r w:rsidR="00266525">
              <w:rPr>
                <w:noProof/>
                <w:webHidden/>
              </w:rPr>
              <w:fldChar w:fldCharType="separate"/>
            </w:r>
            <w:r w:rsidR="00266525">
              <w:rPr>
                <w:noProof/>
                <w:webHidden/>
              </w:rPr>
              <w:t>3</w:t>
            </w:r>
            <w:r w:rsidR="00266525">
              <w:rPr>
                <w:noProof/>
                <w:webHidden/>
              </w:rPr>
              <w:fldChar w:fldCharType="end"/>
            </w:r>
          </w:hyperlink>
        </w:p>
        <w:p w:rsidR="00266525" w:rsidRDefault="00111D66" w:rsidP="00266525">
          <w:pPr>
            <w:pStyle w:val="TDC2"/>
            <w:tabs>
              <w:tab w:val="left" w:pos="880"/>
              <w:tab w:val="right" w:leader="dot" w:pos="8828"/>
            </w:tabs>
            <w:ind w:left="0"/>
            <w:rPr>
              <w:rFonts w:eastAsiaTheme="minorEastAsia"/>
              <w:noProof/>
              <w:lang w:eastAsia="es-MX"/>
            </w:rPr>
          </w:pPr>
          <w:hyperlink w:anchor="_Toc532831825" w:history="1">
            <w:r w:rsidR="00266525" w:rsidRPr="000D75A0">
              <w:rPr>
                <w:rStyle w:val="Hipervnculo"/>
                <w:rFonts w:ascii="Palatino Linotype" w:eastAsiaTheme="majorEastAsia" w:hAnsi="Palatino Linotype" w:cstheme="majorBidi"/>
                <w:b/>
                <w:noProof/>
              </w:rPr>
              <w:t>II.</w:t>
            </w:r>
            <w:r w:rsidR="00266525">
              <w:rPr>
                <w:rFonts w:eastAsiaTheme="minorEastAsia"/>
                <w:noProof/>
                <w:lang w:eastAsia="es-MX"/>
              </w:rPr>
              <w:tab/>
            </w:r>
            <w:r w:rsidR="00266525" w:rsidRPr="000D75A0">
              <w:rPr>
                <w:rStyle w:val="Hipervnculo"/>
                <w:rFonts w:ascii="Palatino Linotype" w:eastAsiaTheme="majorEastAsia" w:hAnsi="Palatino Linotype" w:cstheme="majorBidi"/>
                <w:b/>
                <w:noProof/>
              </w:rPr>
              <w:t>Inaplicabilidad en este caso el criterio empleado por la mayoría sobre la protección de la imagen de los servidores públicos</w:t>
            </w:r>
            <w:r w:rsidR="00266525">
              <w:rPr>
                <w:noProof/>
                <w:webHidden/>
              </w:rPr>
              <w:tab/>
            </w:r>
            <w:r w:rsidR="00266525">
              <w:rPr>
                <w:noProof/>
                <w:webHidden/>
              </w:rPr>
              <w:fldChar w:fldCharType="begin"/>
            </w:r>
            <w:r w:rsidR="00266525">
              <w:rPr>
                <w:noProof/>
                <w:webHidden/>
              </w:rPr>
              <w:instrText xml:space="preserve"> PAGEREF _Toc532831825 \h </w:instrText>
            </w:r>
            <w:r w:rsidR="00266525">
              <w:rPr>
                <w:noProof/>
                <w:webHidden/>
              </w:rPr>
            </w:r>
            <w:r w:rsidR="00266525">
              <w:rPr>
                <w:noProof/>
                <w:webHidden/>
              </w:rPr>
              <w:fldChar w:fldCharType="separate"/>
            </w:r>
            <w:r w:rsidR="00266525">
              <w:rPr>
                <w:noProof/>
                <w:webHidden/>
              </w:rPr>
              <w:t>5</w:t>
            </w:r>
            <w:r w:rsidR="00266525">
              <w:rPr>
                <w:noProof/>
                <w:webHidden/>
              </w:rPr>
              <w:fldChar w:fldCharType="end"/>
            </w:r>
          </w:hyperlink>
        </w:p>
        <w:p w:rsidR="00266525" w:rsidRDefault="00111D66">
          <w:pPr>
            <w:pStyle w:val="TDC1"/>
            <w:tabs>
              <w:tab w:val="right" w:leader="dot" w:pos="8828"/>
            </w:tabs>
            <w:rPr>
              <w:rFonts w:eastAsiaTheme="minorEastAsia"/>
              <w:noProof/>
              <w:lang w:eastAsia="es-MX"/>
            </w:rPr>
          </w:pPr>
          <w:hyperlink w:anchor="_Toc532831826" w:history="1">
            <w:r w:rsidR="00266525" w:rsidRPr="000D75A0">
              <w:rPr>
                <w:rStyle w:val="Hipervnculo"/>
                <w:rFonts w:ascii="Palatino Linotype" w:eastAsiaTheme="majorEastAsia" w:hAnsi="Palatino Linotype" w:cstheme="majorBidi"/>
                <w:b/>
                <w:noProof/>
              </w:rPr>
              <w:t>III. La naturaleza de la función pública que se desempeña.</w:t>
            </w:r>
            <w:r w:rsidR="00266525">
              <w:rPr>
                <w:noProof/>
                <w:webHidden/>
              </w:rPr>
              <w:tab/>
            </w:r>
            <w:r w:rsidR="00266525">
              <w:rPr>
                <w:noProof/>
                <w:webHidden/>
              </w:rPr>
              <w:fldChar w:fldCharType="begin"/>
            </w:r>
            <w:r w:rsidR="00266525">
              <w:rPr>
                <w:noProof/>
                <w:webHidden/>
              </w:rPr>
              <w:instrText xml:space="preserve"> PAGEREF _Toc532831826 \h </w:instrText>
            </w:r>
            <w:r w:rsidR="00266525">
              <w:rPr>
                <w:noProof/>
                <w:webHidden/>
              </w:rPr>
            </w:r>
            <w:r w:rsidR="00266525">
              <w:rPr>
                <w:noProof/>
                <w:webHidden/>
              </w:rPr>
              <w:fldChar w:fldCharType="separate"/>
            </w:r>
            <w:r w:rsidR="00266525">
              <w:rPr>
                <w:noProof/>
                <w:webHidden/>
              </w:rPr>
              <w:t>7</w:t>
            </w:r>
            <w:r w:rsidR="00266525">
              <w:rPr>
                <w:noProof/>
                <w:webHidden/>
              </w:rPr>
              <w:fldChar w:fldCharType="end"/>
            </w:r>
          </w:hyperlink>
        </w:p>
        <w:p w:rsidR="00266525" w:rsidRDefault="00111D66">
          <w:pPr>
            <w:pStyle w:val="TDC1"/>
            <w:tabs>
              <w:tab w:val="right" w:leader="dot" w:pos="8828"/>
            </w:tabs>
            <w:rPr>
              <w:rFonts w:eastAsiaTheme="minorEastAsia"/>
              <w:noProof/>
              <w:lang w:eastAsia="es-MX"/>
            </w:rPr>
          </w:pPr>
          <w:hyperlink w:anchor="_Toc532831827" w:history="1">
            <w:r w:rsidR="00266525" w:rsidRPr="000D75A0">
              <w:rPr>
                <w:rStyle w:val="Hipervnculo"/>
                <w:rFonts w:ascii="Palatino Linotype" w:eastAsiaTheme="majorEastAsia" w:hAnsi="Palatino Linotype" w:cstheme="majorBidi"/>
                <w:b/>
                <w:noProof/>
              </w:rPr>
              <w:t>IV. Restricciones legítimas al derecho a la privacidad.</w:t>
            </w:r>
            <w:r w:rsidR="00266525">
              <w:rPr>
                <w:noProof/>
                <w:webHidden/>
              </w:rPr>
              <w:tab/>
            </w:r>
            <w:r w:rsidR="00266525">
              <w:rPr>
                <w:noProof/>
                <w:webHidden/>
              </w:rPr>
              <w:fldChar w:fldCharType="begin"/>
            </w:r>
            <w:r w:rsidR="00266525">
              <w:rPr>
                <w:noProof/>
                <w:webHidden/>
              </w:rPr>
              <w:instrText xml:space="preserve"> PAGEREF _Toc532831827 \h </w:instrText>
            </w:r>
            <w:r w:rsidR="00266525">
              <w:rPr>
                <w:noProof/>
                <w:webHidden/>
              </w:rPr>
            </w:r>
            <w:r w:rsidR="00266525">
              <w:rPr>
                <w:noProof/>
                <w:webHidden/>
              </w:rPr>
              <w:fldChar w:fldCharType="separate"/>
            </w:r>
            <w:r w:rsidR="00266525">
              <w:rPr>
                <w:noProof/>
                <w:webHidden/>
              </w:rPr>
              <w:t>8</w:t>
            </w:r>
            <w:r w:rsidR="00266525">
              <w:rPr>
                <w:noProof/>
                <w:webHidden/>
              </w:rPr>
              <w:fldChar w:fldCharType="end"/>
            </w:r>
          </w:hyperlink>
        </w:p>
        <w:p w:rsidR="00266525" w:rsidRDefault="00111D66" w:rsidP="00266525">
          <w:pPr>
            <w:pStyle w:val="TDC2"/>
            <w:tabs>
              <w:tab w:val="left" w:pos="880"/>
              <w:tab w:val="right" w:leader="dot" w:pos="8828"/>
            </w:tabs>
            <w:ind w:left="0"/>
            <w:rPr>
              <w:rFonts w:eastAsiaTheme="minorEastAsia"/>
              <w:noProof/>
              <w:lang w:eastAsia="es-MX"/>
            </w:rPr>
          </w:pPr>
          <w:hyperlink w:anchor="_Toc532831828" w:history="1">
            <w:r w:rsidR="00266525" w:rsidRPr="000D75A0">
              <w:rPr>
                <w:rStyle w:val="Hipervnculo"/>
                <w:rFonts w:ascii="Palatino Linotype" w:eastAsiaTheme="majorEastAsia" w:hAnsi="Palatino Linotype" w:cstheme="majorBidi"/>
                <w:b/>
                <w:noProof/>
              </w:rPr>
              <w:t>V.</w:t>
            </w:r>
            <w:r w:rsidR="00266525">
              <w:rPr>
                <w:rFonts w:eastAsiaTheme="minorEastAsia"/>
                <w:noProof/>
                <w:lang w:eastAsia="es-MX"/>
              </w:rPr>
              <w:tab/>
            </w:r>
            <w:r w:rsidR="00266525" w:rsidRPr="000D75A0">
              <w:rPr>
                <w:rStyle w:val="Hipervnculo"/>
                <w:rFonts w:ascii="Palatino Linotype" w:eastAsiaTheme="majorEastAsia" w:hAnsi="Palatino Linotype" w:cstheme="majorBidi"/>
                <w:b/>
                <w:noProof/>
              </w:rPr>
              <w:t>Del Pronunciamiento Simple</w:t>
            </w:r>
            <w:r w:rsidR="00266525">
              <w:rPr>
                <w:noProof/>
                <w:webHidden/>
              </w:rPr>
              <w:tab/>
            </w:r>
            <w:r w:rsidR="00266525">
              <w:rPr>
                <w:noProof/>
                <w:webHidden/>
              </w:rPr>
              <w:fldChar w:fldCharType="begin"/>
            </w:r>
            <w:r w:rsidR="00266525">
              <w:rPr>
                <w:noProof/>
                <w:webHidden/>
              </w:rPr>
              <w:instrText xml:space="preserve"> PAGEREF _Toc532831828 \h </w:instrText>
            </w:r>
            <w:r w:rsidR="00266525">
              <w:rPr>
                <w:noProof/>
                <w:webHidden/>
              </w:rPr>
            </w:r>
            <w:r w:rsidR="00266525">
              <w:rPr>
                <w:noProof/>
                <w:webHidden/>
              </w:rPr>
              <w:fldChar w:fldCharType="separate"/>
            </w:r>
            <w:r w:rsidR="00266525">
              <w:rPr>
                <w:noProof/>
                <w:webHidden/>
              </w:rPr>
              <w:t>11</w:t>
            </w:r>
            <w:r w:rsidR="00266525">
              <w:rPr>
                <w:noProof/>
                <w:webHidden/>
              </w:rPr>
              <w:fldChar w:fldCharType="end"/>
            </w:r>
          </w:hyperlink>
        </w:p>
        <w:p w:rsidR="00266525" w:rsidRDefault="00266525" w:rsidP="00266525">
          <w:pPr>
            <w:pStyle w:val="TDC2"/>
            <w:tabs>
              <w:tab w:val="left" w:pos="880"/>
              <w:tab w:val="right" w:leader="dot" w:pos="8828"/>
            </w:tabs>
            <w:ind w:left="0"/>
            <w:rPr>
              <w:rFonts w:eastAsiaTheme="minorEastAsia"/>
              <w:noProof/>
              <w:lang w:eastAsia="es-MX"/>
            </w:rPr>
          </w:pPr>
          <w:hyperlink w:anchor="_Toc532831829" w:history="1">
            <w:r w:rsidRPr="000D75A0">
              <w:rPr>
                <w:rStyle w:val="Hipervnculo"/>
                <w:rFonts w:ascii="Palatino Linotype" w:eastAsia="Calibri" w:hAnsi="Palatino Linotype" w:cstheme="majorBidi"/>
                <w:b/>
                <w:noProof/>
              </w:rPr>
              <w:t>VI.</w:t>
            </w:r>
            <w:r>
              <w:rPr>
                <w:rFonts w:eastAsiaTheme="minorEastAsia"/>
                <w:noProof/>
                <w:lang w:eastAsia="es-MX"/>
              </w:rPr>
              <w:tab/>
            </w:r>
            <w:r w:rsidRPr="000D75A0">
              <w:rPr>
                <w:rStyle w:val="Hipervnculo"/>
                <w:rFonts w:ascii="Palatino Linotype" w:eastAsia="Calibri" w:hAnsi="Palatino Linotype" w:cstheme="majorBidi"/>
                <w:b/>
                <w:noProof/>
              </w:rPr>
              <w:t>Conclusión.</w:t>
            </w:r>
            <w:r>
              <w:rPr>
                <w:noProof/>
                <w:webHidden/>
              </w:rPr>
              <w:tab/>
            </w:r>
            <w:r>
              <w:rPr>
                <w:noProof/>
                <w:webHidden/>
              </w:rPr>
              <w:fldChar w:fldCharType="begin"/>
            </w:r>
            <w:r>
              <w:rPr>
                <w:noProof/>
                <w:webHidden/>
              </w:rPr>
              <w:instrText xml:space="preserve"> PAGEREF _Toc532831829 \h </w:instrText>
            </w:r>
            <w:r>
              <w:rPr>
                <w:noProof/>
                <w:webHidden/>
              </w:rPr>
            </w:r>
            <w:r>
              <w:rPr>
                <w:noProof/>
                <w:webHidden/>
              </w:rPr>
              <w:fldChar w:fldCharType="separate"/>
            </w:r>
            <w:r>
              <w:rPr>
                <w:noProof/>
                <w:webHidden/>
              </w:rPr>
              <w:t>18</w:t>
            </w:r>
            <w:r>
              <w:rPr>
                <w:noProof/>
                <w:webHidden/>
              </w:rPr>
              <w:fldChar w:fldCharType="end"/>
            </w:r>
          </w:hyperlink>
        </w:p>
        <w:p w:rsidR="00E57020" w:rsidRPr="00E57020" w:rsidRDefault="00E57020" w:rsidP="00E57020">
          <w:pPr>
            <w:spacing w:line="360" w:lineRule="auto"/>
            <w:rPr>
              <w:rFonts w:ascii="Palatino Linotype" w:hAnsi="Palatino Linotype"/>
              <w:sz w:val="24"/>
              <w:szCs w:val="24"/>
            </w:rPr>
          </w:pPr>
          <w:r w:rsidRPr="00E57020">
            <w:rPr>
              <w:rFonts w:ascii="Palatino Linotype" w:hAnsi="Palatino Linotype"/>
              <w:b/>
              <w:bCs/>
              <w:sz w:val="24"/>
              <w:szCs w:val="24"/>
              <w:lang w:val="es-ES"/>
            </w:rPr>
            <w:fldChar w:fldCharType="end"/>
          </w:r>
        </w:p>
      </w:sdtContent>
    </w:sdt>
    <w:p w:rsidR="00E57020" w:rsidRDefault="00E57020" w:rsidP="00E57020">
      <w:pPr>
        <w:keepNext/>
        <w:keepLines/>
        <w:spacing w:before="240" w:after="0"/>
        <w:outlineLvl w:val="0"/>
        <w:rPr>
          <w:rFonts w:ascii="Palatino Linotype" w:eastAsiaTheme="majorEastAsia" w:hAnsi="Palatino Linotype" w:cstheme="majorBidi"/>
          <w:b/>
          <w:sz w:val="24"/>
          <w:szCs w:val="24"/>
        </w:rPr>
      </w:pPr>
      <w:bookmarkStart w:id="1" w:name="_Toc506551521"/>
    </w:p>
    <w:p w:rsidR="00E57020" w:rsidRDefault="00E57020" w:rsidP="00E57020">
      <w:pPr>
        <w:keepNext/>
        <w:keepLines/>
        <w:spacing w:before="240" w:after="0"/>
        <w:outlineLvl w:val="0"/>
        <w:rPr>
          <w:rFonts w:ascii="Palatino Linotype" w:eastAsiaTheme="majorEastAsia" w:hAnsi="Palatino Linotype" w:cstheme="majorBidi"/>
          <w:b/>
          <w:sz w:val="24"/>
          <w:szCs w:val="24"/>
        </w:rPr>
      </w:pPr>
    </w:p>
    <w:p w:rsidR="00E57020" w:rsidRPr="00266525" w:rsidRDefault="00E57020" w:rsidP="00266525">
      <w:pPr>
        <w:pStyle w:val="Prrafodelista"/>
        <w:keepNext/>
        <w:keepLines/>
        <w:numPr>
          <w:ilvl w:val="0"/>
          <w:numId w:val="11"/>
        </w:numPr>
        <w:spacing w:before="240" w:after="0"/>
        <w:outlineLvl w:val="0"/>
        <w:rPr>
          <w:rFonts w:ascii="Palatino Linotype" w:eastAsiaTheme="majorEastAsia" w:hAnsi="Palatino Linotype" w:cstheme="majorBidi"/>
          <w:b/>
          <w:sz w:val="24"/>
          <w:szCs w:val="24"/>
        </w:rPr>
      </w:pPr>
      <w:bookmarkStart w:id="2" w:name="_Toc532831824"/>
      <w:r w:rsidRPr="00266525">
        <w:rPr>
          <w:rFonts w:ascii="Palatino Linotype" w:eastAsiaTheme="majorEastAsia" w:hAnsi="Palatino Linotype" w:cstheme="majorBidi"/>
          <w:b/>
          <w:sz w:val="24"/>
          <w:szCs w:val="24"/>
        </w:rPr>
        <w:t>Consideraciones Generales</w:t>
      </w:r>
      <w:bookmarkEnd w:id="1"/>
      <w:bookmarkEnd w:id="2"/>
    </w:p>
    <w:p w:rsidR="00E57020" w:rsidRPr="00E57020" w:rsidRDefault="00E57020" w:rsidP="00E57020">
      <w:pPr>
        <w:keepNext/>
        <w:keepLines/>
        <w:spacing w:before="240" w:after="0" w:line="360" w:lineRule="auto"/>
        <w:ind w:left="426" w:hanging="426"/>
        <w:outlineLvl w:val="0"/>
        <w:rPr>
          <w:rFonts w:ascii="Palatino Linotype" w:eastAsiaTheme="majorEastAsia" w:hAnsi="Palatino Linotype" w:cstheme="majorBidi"/>
          <w:color w:val="2E74B5" w:themeColor="accent1" w:themeShade="BF"/>
          <w:sz w:val="24"/>
          <w:szCs w:val="24"/>
        </w:rPr>
      </w:pPr>
    </w:p>
    <w:p w:rsidR="00E57020" w:rsidRPr="00E57020" w:rsidRDefault="00E57020" w:rsidP="00E57020">
      <w:pPr>
        <w:numPr>
          <w:ilvl w:val="0"/>
          <w:numId w:val="1"/>
        </w:numPr>
        <w:spacing w:after="0" w:line="360" w:lineRule="auto"/>
        <w:ind w:left="426" w:hanging="426"/>
        <w:contextualSpacing/>
        <w:jc w:val="both"/>
        <w:rPr>
          <w:rFonts w:ascii="Palatino Linotype" w:hAnsi="Palatino Linotype" w:cs="Arial"/>
          <w:b/>
          <w:sz w:val="24"/>
          <w:szCs w:val="24"/>
        </w:rPr>
      </w:pPr>
      <w:r w:rsidRPr="00E57020">
        <w:rPr>
          <w:rFonts w:ascii="Palatino Linotype" w:eastAsia="Times New Roman" w:hAnsi="Palatino Linotype" w:cs="Arial"/>
          <w:sz w:val="24"/>
          <w:szCs w:val="24"/>
          <w:lang w:val="es-ES_tradnl"/>
        </w:rPr>
        <w:t xml:space="preserve">He concurrido con mi voto particular de la presente resolución emitida </w:t>
      </w:r>
      <w:r w:rsidRPr="00E57020">
        <w:rPr>
          <w:rFonts w:ascii="Palatino Linotype" w:hAnsi="Palatino Linotype" w:cs="Arial"/>
          <w:sz w:val="24"/>
          <w:szCs w:val="24"/>
        </w:rPr>
        <w:t xml:space="preserve">por el Pleno del Instituto de Transparencia, Acceso a la Información Pública y Protección de Datos Personales del Estado de México y Municipios, en la </w:t>
      </w:r>
      <w:r>
        <w:rPr>
          <w:rFonts w:ascii="Palatino Linotype" w:hAnsi="Palatino Linotype" w:cs="Arial"/>
          <w:sz w:val="24"/>
          <w:szCs w:val="24"/>
        </w:rPr>
        <w:t>Cuadragésima Sexta</w:t>
      </w:r>
      <w:r w:rsidRPr="00E57020">
        <w:rPr>
          <w:rFonts w:ascii="Palatino Linotype" w:hAnsi="Palatino Linotype" w:cs="Arial"/>
          <w:sz w:val="24"/>
          <w:szCs w:val="24"/>
        </w:rPr>
        <w:t xml:space="preserve"> sesión ordinaria celebrada el día </w:t>
      </w:r>
      <w:r>
        <w:rPr>
          <w:rFonts w:ascii="Palatino Linotype" w:hAnsi="Palatino Linotype" w:cs="Arial"/>
          <w:sz w:val="24"/>
          <w:szCs w:val="24"/>
        </w:rPr>
        <w:t>doce (12) de diciembre</w:t>
      </w:r>
      <w:r w:rsidRPr="00E57020">
        <w:rPr>
          <w:rFonts w:ascii="Palatino Linotype" w:hAnsi="Palatino Linotype" w:cs="Arial"/>
          <w:sz w:val="24"/>
          <w:szCs w:val="24"/>
        </w:rPr>
        <w:t xml:space="preserve"> de dos mil dieciocho, en el recurso de revisión promovido </w:t>
      </w:r>
      <w:r>
        <w:rPr>
          <w:rFonts w:ascii="Palatino Linotype" w:hAnsi="Palatino Linotype" w:cs="Arial"/>
          <w:sz w:val="24"/>
          <w:szCs w:val="24"/>
        </w:rPr>
        <w:t xml:space="preserve">por </w:t>
      </w:r>
      <w:r w:rsidR="00D32E0A" w:rsidRPr="00D32E0A">
        <w:rPr>
          <w:rFonts w:ascii="Palatino Linotype" w:eastAsia="Times New Roman" w:hAnsi="Palatino Linotype" w:cs="Arial"/>
          <w:b/>
          <w:sz w:val="24"/>
          <w:szCs w:val="24"/>
          <w:highlight w:val="black"/>
          <w:lang w:val="es-ES" w:eastAsia="es-ES"/>
        </w:rPr>
        <w:t>-------------------------------------------------------------</w:t>
      </w:r>
      <w:r w:rsidRPr="00E57020">
        <w:rPr>
          <w:rFonts w:ascii="Palatino Linotype" w:eastAsia="Times New Roman" w:hAnsi="Palatino Linotype" w:cs="Times New Roman"/>
          <w:b/>
          <w:sz w:val="24"/>
          <w:szCs w:val="24"/>
          <w:lang w:val="es-ES_tradnl" w:eastAsia="es-ES"/>
        </w:rPr>
        <w:t xml:space="preserve"> </w:t>
      </w:r>
      <w:r w:rsidRPr="00E57020">
        <w:rPr>
          <w:rFonts w:ascii="Palatino Linotype" w:hAnsi="Palatino Linotype" w:cs="Arial"/>
          <w:sz w:val="24"/>
          <w:szCs w:val="24"/>
        </w:rPr>
        <w:t xml:space="preserve">en contra de la respuesta del </w:t>
      </w:r>
      <w:r w:rsidRPr="00E57020">
        <w:rPr>
          <w:rFonts w:ascii="Palatino Linotype" w:eastAsia="Times New Roman" w:hAnsi="Palatino Linotype" w:cs="Arial"/>
          <w:b/>
          <w:sz w:val="24"/>
          <w:szCs w:val="24"/>
          <w:lang w:val="es-ES" w:eastAsia="es-ES"/>
        </w:rPr>
        <w:t>Organismo Agua y Saneamiento de Toluca</w:t>
      </w:r>
      <w:r w:rsidRPr="00E57020">
        <w:rPr>
          <w:rFonts w:ascii="Palatino Linotype" w:eastAsia="Times New Roman" w:hAnsi="Palatino Linotype" w:cs="Times New Roman"/>
          <w:b/>
          <w:sz w:val="24"/>
          <w:szCs w:val="24"/>
          <w:lang w:val="es-ES_tradnl" w:eastAsia="es-ES"/>
        </w:rPr>
        <w:t xml:space="preserve"> </w:t>
      </w:r>
      <w:r w:rsidRPr="00E57020">
        <w:rPr>
          <w:rFonts w:ascii="Palatino Linotype" w:hAnsi="Palatino Linotype" w:cs="Arial"/>
          <w:b/>
          <w:sz w:val="24"/>
          <w:szCs w:val="24"/>
        </w:rPr>
        <w:t>p</w:t>
      </w:r>
      <w:r w:rsidRPr="00E57020">
        <w:rPr>
          <w:rFonts w:ascii="Palatino Linotype" w:hAnsi="Palatino Linotype" w:cs="Arial"/>
          <w:sz w:val="24"/>
          <w:szCs w:val="24"/>
        </w:rPr>
        <w:t xml:space="preserve">rocedimiento al que se le asignó el número de expediente </w:t>
      </w:r>
      <w:r>
        <w:rPr>
          <w:rFonts w:ascii="Palatino Linotype" w:hAnsi="Palatino Linotype" w:cs="Arial"/>
          <w:b/>
          <w:sz w:val="24"/>
          <w:szCs w:val="24"/>
        </w:rPr>
        <w:t>03984</w:t>
      </w:r>
      <w:r w:rsidRPr="00E57020">
        <w:rPr>
          <w:rFonts w:ascii="Palatino Linotype" w:hAnsi="Palatino Linotype" w:cs="Arial"/>
          <w:b/>
          <w:sz w:val="24"/>
          <w:szCs w:val="24"/>
        </w:rPr>
        <w:t>/INFOEM/IP/RR/2018.</w:t>
      </w:r>
    </w:p>
    <w:p w:rsidR="00E57020" w:rsidRPr="00E57020" w:rsidRDefault="00E57020" w:rsidP="00E57020">
      <w:pPr>
        <w:spacing w:after="0" w:line="360" w:lineRule="auto"/>
        <w:ind w:left="426" w:hanging="426"/>
        <w:jc w:val="both"/>
        <w:rPr>
          <w:rFonts w:ascii="Palatino Linotype" w:hAnsi="Palatino Linotype" w:cs="Arial"/>
          <w:b/>
          <w:sz w:val="24"/>
          <w:szCs w:val="24"/>
        </w:rPr>
      </w:pPr>
    </w:p>
    <w:p w:rsidR="00E57020" w:rsidRDefault="00E57020" w:rsidP="00E57020">
      <w:pPr>
        <w:numPr>
          <w:ilvl w:val="0"/>
          <w:numId w:val="1"/>
        </w:numPr>
        <w:spacing w:before="240" w:after="240" w:line="360" w:lineRule="auto"/>
        <w:ind w:left="426" w:hanging="426"/>
        <w:contextualSpacing/>
        <w:jc w:val="both"/>
        <w:rPr>
          <w:rFonts w:ascii="Palatino Linotype" w:eastAsia="Times New Roman" w:hAnsi="Palatino Linotype" w:cs="Arial"/>
          <w:sz w:val="24"/>
          <w:szCs w:val="24"/>
        </w:rPr>
      </w:pPr>
      <w:r w:rsidRPr="00E57020">
        <w:rPr>
          <w:rFonts w:ascii="Palatino Linotype" w:hAnsi="Palatino Linotype" w:cs="Arial"/>
          <w:sz w:val="24"/>
          <w:szCs w:val="24"/>
        </w:rPr>
        <w:t xml:space="preserve">La resolución declara </w:t>
      </w:r>
      <w:r w:rsidRPr="00E57020">
        <w:rPr>
          <w:rFonts w:ascii="Palatino Linotype" w:eastAsia="Times New Roman" w:hAnsi="Palatino Linotype" w:cs="Arial"/>
          <w:sz w:val="24"/>
          <w:szCs w:val="24"/>
        </w:rPr>
        <w:t xml:space="preserve">fundadas las razones o motivos de inconformidad hechos valer por el particular ordenándole al </w:t>
      </w:r>
      <w:r w:rsidRPr="00E57020">
        <w:rPr>
          <w:rFonts w:ascii="Palatino Linotype" w:eastAsia="Times New Roman" w:hAnsi="Palatino Linotype" w:cs="Arial"/>
          <w:b/>
          <w:sz w:val="24"/>
          <w:szCs w:val="24"/>
        </w:rPr>
        <w:t>SUJETO OBLIGADO</w:t>
      </w:r>
      <w:r w:rsidR="00625761" w:rsidRPr="00625761">
        <w:rPr>
          <w:rFonts w:ascii="Palatino Linotype" w:eastAsia="Times New Roman" w:hAnsi="Palatino Linotype" w:cs="Arial"/>
          <w:sz w:val="24"/>
          <w:szCs w:val="24"/>
          <w:lang w:val="es-ES" w:eastAsia="es-ES"/>
        </w:rPr>
        <w:t xml:space="preserve"> </w:t>
      </w:r>
      <w:r w:rsidR="00625761" w:rsidRPr="00625761">
        <w:rPr>
          <w:rFonts w:ascii="Palatino Linotype" w:eastAsia="Times New Roman" w:hAnsi="Palatino Linotype" w:cs="Arial"/>
          <w:sz w:val="24"/>
          <w:szCs w:val="24"/>
        </w:rPr>
        <w:t>previa búsqueda exhaustiva y razonable</w:t>
      </w:r>
      <w:r w:rsidR="00625761">
        <w:rPr>
          <w:rFonts w:ascii="Palatino Linotype" w:eastAsia="Times New Roman" w:hAnsi="Palatino Linotype" w:cs="Arial"/>
          <w:sz w:val="24"/>
          <w:szCs w:val="24"/>
        </w:rPr>
        <w:t>,</w:t>
      </w:r>
      <w:r w:rsidRPr="00E57020">
        <w:rPr>
          <w:rFonts w:ascii="Palatino Linotype" w:eastAsia="Times New Roman" w:hAnsi="Palatino Linotype" w:cs="Arial"/>
          <w:sz w:val="24"/>
          <w:szCs w:val="24"/>
        </w:rPr>
        <w:t xml:space="preserve"> en versión pública </w:t>
      </w:r>
      <w:r w:rsidR="00625761" w:rsidRPr="00E57020">
        <w:rPr>
          <w:rFonts w:ascii="Palatino Linotype" w:eastAsia="Times New Roman" w:hAnsi="Palatino Linotype" w:cs="Arial"/>
          <w:sz w:val="24"/>
          <w:szCs w:val="24"/>
        </w:rPr>
        <w:t xml:space="preserve">entregar </w:t>
      </w:r>
      <w:r w:rsidRPr="00E57020">
        <w:rPr>
          <w:rFonts w:ascii="Palatino Linotype" w:eastAsia="Times New Roman" w:hAnsi="Palatino Linotype" w:cs="Arial"/>
          <w:sz w:val="24"/>
          <w:szCs w:val="24"/>
        </w:rPr>
        <w:t>lo siguiente:</w:t>
      </w:r>
    </w:p>
    <w:p w:rsidR="00625761" w:rsidRPr="00625761" w:rsidRDefault="00625761" w:rsidP="00625761">
      <w:pPr>
        <w:pStyle w:val="Prrafodelista"/>
        <w:rPr>
          <w:rFonts w:ascii="Palatino Linotype" w:eastAsia="Times New Roman" w:hAnsi="Palatino Linotype" w:cs="Arial"/>
          <w:i/>
          <w:sz w:val="24"/>
          <w:szCs w:val="24"/>
        </w:rPr>
      </w:pPr>
    </w:p>
    <w:p w:rsidR="00625761" w:rsidRPr="00625761" w:rsidRDefault="00625761" w:rsidP="00625761">
      <w:pPr>
        <w:numPr>
          <w:ilvl w:val="0"/>
          <w:numId w:val="6"/>
        </w:numPr>
        <w:autoSpaceDE w:val="0"/>
        <w:autoSpaceDN w:val="0"/>
        <w:adjustRightInd w:val="0"/>
        <w:spacing w:before="240" w:after="240" w:line="360" w:lineRule="auto"/>
        <w:jc w:val="both"/>
        <w:rPr>
          <w:rFonts w:ascii="Palatino Linotype" w:eastAsia="Times New Roman" w:hAnsi="Palatino Linotype" w:cs="Arial"/>
          <w:i/>
          <w:sz w:val="24"/>
          <w:szCs w:val="24"/>
          <w:lang w:val="es-ES" w:eastAsia="es-ES"/>
        </w:rPr>
      </w:pPr>
      <w:r w:rsidRPr="00625761">
        <w:rPr>
          <w:rFonts w:ascii="Palatino Linotype" w:eastAsia="Times New Roman" w:hAnsi="Palatino Linotype" w:cs="Arial"/>
          <w:b/>
          <w:i/>
          <w:sz w:val="24"/>
          <w:szCs w:val="24"/>
          <w:lang w:val="es-ES" w:eastAsia="es-ES"/>
        </w:rPr>
        <w:t>Del</w:t>
      </w:r>
      <w:r w:rsidRPr="00625761">
        <w:rPr>
          <w:rFonts w:ascii="Palatino Linotype" w:eastAsia="Times New Roman" w:hAnsi="Palatino Linotype" w:cs="Arial"/>
          <w:i/>
          <w:sz w:val="24"/>
          <w:szCs w:val="24"/>
          <w:lang w:val="es-ES" w:eastAsia="es-ES"/>
        </w:rPr>
        <w:t xml:space="preserve"> </w:t>
      </w:r>
      <w:r w:rsidRPr="00625761">
        <w:rPr>
          <w:rFonts w:ascii="Palatino Linotype" w:eastAsia="Times New Roman" w:hAnsi="Palatino Linotype" w:cs="Times New Roman"/>
          <w:b/>
          <w:i/>
          <w:color w:val="000000"/>
          <w:sz w:val="24"/>
          <w:szCs w:val="24"/>
          <w:lang w:val="es-ES" w:eastAsia="es-ES"/>
        </w:rPr>
        <w:t>primero de enero de dos mil diecisiete al primero de octubre de dos mil dieciocho.</w:t>
      </w:r>
    </w:p>
    <w:p w:rsidR="00625761" w:rsidRPr="00625761" w:rsidRDefault="00625761" w:rsidP="00625761">
      <w:pPr>
        <w:numPr>
          <w:ilvl w:val="0"/>
          <w:numId w:val="5"/>
        </w:numPr>
        <w:autoSpaceDE w:val="0"/>
        <w:autoSpaceDN w:val="0"/>
        <w:adjustRightInd w:val="0"/>
        <w:spacing w:before="240" w:after="240" w:line="360" w:lineRule="auto"/>
        <w:ind w:left="1281" w:right="618" w:hanging="357"/>
        <w:jc w:val="both"/>
        <w:rPr>
          <w:rFonts w:ascii="Palatino Linotype" w:eastAsia="Times New Roman" w:hAnsi="Palatino Linotype" w:cs="Times New Roman"/>
          <w:b/>
          <w:i/>
          <w:color w:val="000000"/>
          <w:sz w:val="24"/>
          <w:szCs w:val="24"/>
          <w:lang w:val="es-ES" w:eastAsia="es-ES"/>
        </w:rPr>
      </w:pPr>
      <w:r w:rsidRPr="00625761">
        <w:rPr>
          <w:rFonts w:ascii="Palatino Linotype" w:eastAsia="Times New Roman" w:hAnsi="Palatino Linotype" w:cs="Times New Roman"/>
          <w:b/>
          <w:i/>
          <w:color w:val="000000"/>
          <w:sz w:val="24"/>
          <w:szCs w:val="24"/>
          <w:lang w:val="es-ES" w:eastAsia="es-ES"/>
        </w:rPr>
        <w:t>Altas y bajas del personal.</w:t>
      </w:r>
    </w:p>
    <w:p w:rsidR="00625761" w:rsidRPr="00625761" w:rsidRDefault="00625761" w:rsidP="00625761">
      <w:pPr>
        <w:numPr>
          <w:ilvl w:val="0"/>
          <w:numId w:val="5"/>
        </w:numPr>
        <w:autoSpaceDE w:val="0"/>
        <w:autoSpaceDN w:val="0"/>
        <w:adjustRightInd w:val="0"/>
        <w:spacing w:before="240" w:after="240" w:line="360" w:lineRule="auto"/>
        <w:ind w:left="1281" w:right="618" w:hanging="357"/>
        <w:jc w:val="both"/>
        <w:rPr>
          <w:rFonts w:ascii="Palatino Linotype" w:eastAsia="Times New Roman" w:hAnsi="Palatino Linotype" w:cs="Times New Roman"/>
          <w:b/>
          <w:i/>
          <w:color w:val="000000"/>
          <w:sz w:val="24"/>
          <w:szCs w:val="24"/>
          <w:lang w:val="es-ES" w:eastAsia="es-ES"/>
        </w:rPr>
      </w:pPr>
      <w:r w:rsidRPr="00625761">
        <w:rPr>
          <w:rFonts w:ascii="Palatino Linotype" w:eastAsia="Times New Roman" w:hAnsi="Palatino Linotype" w:cs="Arial"/>
          <w:b/>
          <w:i/>
          <w:sz w:val="24"/>
          <w:szCs w:val="24"/>
          <w:lang w:val="es-ES" w:eastAsia="es-ES"/>
        </w:rPr>
        <w:t>Documentos probatorios de las actividades que realizaron los servidores públicos dados de alta y baja.</w:t>
      </w:r>
    </w:p>
    <w:p w:rsidR="00625761" w:rsidRPr="00625761" w:rsidRDefault="00625761" w:rsidP="00625761">
      <w:pPr>
        <w:numPr>
          <w:ilvl w:val="0"/>
          <w:numId w:val="5"/>
        </w:numPr>
        <w:autoSpaceDE w:val="0"/>
        <w:autoSpaceDN w:val="0"/>
        <w:adjustRightInd w:val="0"/>
        <w:spacing w:before="240" w:after="240" w:line="360" w:lineRule="auto"/>
        <w:ind w:left="1281" w:right="618" w:hanging="357"/>
        <w:jc w:val="both"/>
        <w:rPr>
          <w:rFonts w:ascii="Palatino Linotype" w:eastAsia="Times New Roman" w:hAnsi="Palatino Linotype" w:cs="Times New Roman"/>
          <w:b/>
          <w:i/>
          <w:color w:val="000000"/>
          <w:sz w:val="24"/>
          <w:szCs w:val="24"/>
          <w:lang w:val="es-ES" w:eastAsia="es-ES"/>
        </w:rPr>
      </w:pPr>
      <w:r w:rsidRPr="00625761">
        <w:rPr>
          <w:rFonts w:ascii="Palatino Linotype" w:eastAsia="MS Mincho" w:hAnsi="Palatino Linotype" w:cs="Bookman Old Style"/>
          <w:b/>
          <w:i/>
          <w:sz w:val="24"/>
          <w:szCs w:val="24"/>
          <w:lang w:eastAsia="es-ES"/>
        </w:rPr>
        <w:lastRenderedPageBreak/>
        <w:t xml:space="preserve">Currículum vitae de todo el personal dado de alta, </w:t>
      </w:r>
      <w:r w:rsidRPr="00625761">
        <w:rPr>
          <w:rFonts w:ascii="Palatino Linotype" w:eastAsia="Calibri" w:hAnsi="Palatino Linotype" w:cs="Arial"/>
          <w:b/>
          <w:i/>
          <w:sz w:val="24"/>
          <w:szCs w:val="24"/>
          <w:lang w:val="es-ES" w:eastAsia="es-ES"/>
        </w:rPr>
        <w:t>preferentemente en formato abierto, caso contrario, en el formato en que se genere, posea o administre.</w:t>
      </w:r>
    </w:p>
    <w:p w:rsidR="00625761" w:rsidRPr="00625761" w:rsidRDefault="00625761" w:rsidP="00625761">
      <w:pPr>
        <w:numPr>
          <w:ilvl w:val="0"/>
          <w:numId w:val="5"/>
        </w:numPr>
        <w:autoSpaceDE w:val="0"/>
        <w:autoSpaceDN w:val="0"/>
        <w:adjustRightInd w:val="0"/>
        <w:spacing w:before="240" w:after="240" w:line="360" w:lineRule="auto"/>
        <w:ind w:right="49"/>
        <w:jc w:val="both"/>
        <w:rPr>
          <w:rFonts w:ascii="Palatino Linotype" w:eastAsia="MS Mincho" w:hAnsi="Palatino Linotype" w:cs="Arial"/>
          <w:b/>
          <w:i/>
          <w:sz w:val="24"/>
          <w:szCs w:val="24"/>
          <w:lang w:eastAsia="es-ES"/>
        </w:rPr>
      </w:pPr>
      <w:r w:rsidRPr="00625761">
        <w:rPr>
          <w:rFonts w:ascii="Palatino Linotype" w:eastAsia="MS Mincho" w:hAnsi="Palatino Linotype" w:cs="Bookman Old Style"/>
          <w:b/>
          <w:i/>
          <w:sz w:val="24"/>
          <w:szCs w:val="24"/>
          <w:lang w:eastAsia="es-ES"/>
        </w:rPr>
        <w:t>Documento o documentos probatorios de escolaridad del personal dado de alta.</w:t>
      </w:r>
    </w:p>
    <w:p w:rsidR="00625761" w:rsidRPr="00625761" w:rsidRDefault="00625761" w:rsidP="00625761">
      <w:pPr>
        <w:numPr>
          <w:ilvl w:val="0"/>
          <w:numId w:val="7"/>
        </w:numPr>
        <w:autoSpaceDE w:val="0"/>
        <w:autoSpaceDN w:val="0"/>
        <w:adjustRightInd w:val="0"/>
        <w:spacing w:before="240" w:after="240" w:line="360" w:lineRule="auto"/>
        <w:ind w:right="618"/>
        <w:jc w:val="both"/>
        <w:rPr>
          <w:rFonts w:ascii="Palatino Linotype" w:eastAsia="Times New Roman" w:hAnsi="Palatino Linotype" w:cs="Times New Roman"/>
          <w:b/>
          <w:i/>
          <w:color w:val="000000"/>
          <w:sz w:val="24"/>
          <w:szCs w:val="24"/>
          <w:lang w:val="es-ES" w:eastAsia="es-ES"/>
        </w:rPr>
      </w:pPr>
      <w:r w:rsidRPr="00625761">
        <w:rPr>
          <w:rFonts w:ascii="Palatino Linotype" w:eastAsia="Times New Roman" w:hAnsi="Palatino Linotype" w:cs="Times New Roman"/>
          <w:b/>
          <w:i/>
          <w:color w:val="000000"/>
          <w:sz w:val="24"/>
          <w:szCs w:val="24"/>
          <w:lang w:val="es-ES" w:eastAsia="es-ES"/>
        </w:rPr>
        <w:t>Del primero de enero de dos mil dieciséis al primero de octubre de dos mil dieciocho.</w:t>
      </w:r>
    </w:p>
    <w:p w:rsidR="00625761" w:rsidRPr="00625761" w:rsidRDefault="00625761" w:rsidP="00625761">
      <w:pPr>
        <w:numPr>
          <w:ilvl w:val="0"/>
          <w:numId w:val="5"/>
        </w:numPr>
        <w:autoSpaceDE w:val="0"/>
        <w:autoSpaceDN w:val="0"/>
        <w:adjustRightInd w:val="0"/>
        <w:spacing w:before="240" w:after="240" w:line="360" w:lineRule="auto"/>
        <w:ind w:right="49"/>
        <w:jc w:val="both"/>
        <w:rPr>
          <w:rFonts w:ascii="Palatino Linotype" w:eastAsia="MS Mincho" w:hAnsi="Palatino Linotype" w:cs="Arial"/>
          <w:b/>
          <w:i/>
          <w:sz w:val="24"/>
          <w:szCs w:val="24"/>
          <w:lang w:eastAsia="es-ES"/>
        </w:rPr>
      </w:pPr>
      <w:r w:rsidRPr="00625761">
        <w:rPr>
          <w:rFonts w:ascii="Palatino Linotype" w:eastAsia="Times New Roman" w:hAnsi="Palatino Linotype" w:cs="Times New Roman"/>
          <w:b/>
          <w:i/>
          <w:color w:val="000000"/>
          <w:sz w:val="24"/>
          <w:szCs w:val="24"/>
          <w:lang w:val="es-ES" w:eastAsia="es-ES"/>
        </w:rPr>
        <w:t xml:space="preserve">Documento o documentos en donde conste el adeudo total. </w:t>
      </w:r>
    </w:p>
    <w:p w:rsidR="00625761" w:rsidRPr="00625761" w:rsidRDefault="00625761" w:rsidP="00625761">
      <w:pPr>
        <w:numPr>
          <w:ilvl w:val="0"/>
          <w:numId w:val="5"/>
        </w:numPr>
        <w:autoSpaceDE w:val="0"/>
        <w:autoSpaceDN w:val="0"/>
        <w:adjustRightInd w:val="0"/>
        <w:spacing w:before="240" w:after="240" w:line="360" w:lineRule="auto"/>
        <w:ind w:right="49"/>
        <w:jc w:val="both"/>
        <w:rPr>
          <w:rFonts w:ascii="Palatino Linotype" w:eastAsia="MS Mincho" w:hAnsi="Palatino Linotype" w:cs="Arial"/>
          <w:b/>
          <w:i/>
          <w:sz w:val="24"/>
          <w:szCs w:val="24"/>
          <w:lang w:eastAsia="es-ES"/>
        </w:rPr>
      </w:pPr>
      <w:r w:rsidRPr="00625761">
        <w:rPr>
          <w:rFonts w:ascii="Palatino Linotype" w:eastAsia="Times New Roman" w:hAnsi="Palatino Linotype" w:cs="Times New Roman"/>
          <w:b/>
          <w:i/>
          <w:color w:val="000000"/>
          <w:sz w:val="24"/>
          <w:szCs w:val="24"/>
          <w:lang w:val="es-ES" w:eastAsia="es-ES"/>
        </w:rPr>
        <w:t>Documento o documentos que contengan los adeudos por concepto de laudos y resoluciones emitidas por demandas interpuestas por proveedores.</w:t>
      </w:r>
    </w:p>
    <w:p w:rsidR="00625761" w:rsidRPr="00625761" w:rsidRDefault="00625761" w:rsidP="00625761">
      <w:pPr>
        <w:numPr>
          <w:ilvl w:val="0"/>
          <w:numId w:val="5"/>
        </w:numPr>
        <w:autoSpaceDE w:val="0"/>
        <w:autoSpaceDN w:val="0"/>
        <w:adjustRightInd w:val="0"/>
        <w:spacing w:before="240" w:after="240" w:line="360" w:lineRule="auto"/>
        <w:ind w:right="49"/>
        <w:jc w:val="both"/>
        <w:rPr>
          <w:rFonts w:ascii="Palatino Linotype" w:eastAsia="MS Mincho" w:hAnsi="Palatino Linotype" w:cs="Arial"/>
          <w:b/>
          <w:i/>
          <w:sz w:val="24"/>
          <w:szCs w:val="24"/>
          <w:lang w:eastAsia="es-ES"/>
        </w:rPr>
      </w:pPr>
      <w:r w:rsidRPr="00625761">
        <w:rPr>
          <w:rFonts w:ascii="Palatino Linotype" w:eastAsia="MS Mincho" w:hAnsi="Palatino Linotype" w:cs="Arial"/>
          <w:b/>
          <w:i/>
          <w:sz w:val="24"/>
          <w:szCs w:val="24"/>
          <w:lang w:eastAsia="es-ES"/>
        </w:rPr>
        <w:t xml:space="preserve">Soporte documental en el que conste el número de laudos y demandas de proveedores interpuestas en contra del Sujeto Obligado. </w:t>
      </w:r>
    </w:p>
    <w:p w:rsidR="00625761" w:rsidRPr="00625761" w:rsidRDefault="00625761" w:rsidP="00625761">
      <w:pPr>
        <w:numPr>
          <w:ilvl w:val="0"/>
          <w:numId w:val="5"/>
        </w:numPr>
        <w:autoSpaceDE w:val="0"/>
        <w:autoSpaceDN w:val="0"/>
        <w:adjustRightInd w:val="0"/>
        <w:spacing w:before="240" w:after="240" w:line="360" w:lineRule="auto"/>
        <w:ind w:right="49"/>
        <w:jc w:val="both"/>
        <w:rPr>
          <w:rFonts w:ascii="Palatino Linotype" w:eastAsia="MS Mincho" w:hAnsi="Palatino Linotype" w:cs="Arial"/>
          <w:b/>
          <w:i/>
          <w:sz w:val="24"/>
          <w:szCs w:val="24"/>
          <w:lang w:eastAsia="es-ES"/>
        </w:rPr>
      </w:pPr>
      <w:r w:rsidRPr="00625761">
        <w:rPr>
          <w:rFonts w:ascii="Palatino Linotype" w:eastAsia="MS Mincho" w:hAnsi="Palatino Linotype" w:cs="Bookman Old Style"/>
          <w:b/>
          <w:i/>
          <w:sz w:val="24"/>
          <w:szCs w:val="24"/>
          <w:lang w:eastAsia="es-ES"/>
        </w:rPr>
        <w:t xml:space="preserve">Soporte documental del que se advierte el nombre del </w:t>
      </w:r>
      <w:r w:rsidRPr="00625761">
        <w:rPr>
          <w:rFonts w:ascii="Palatino Linotype" w:eastAsia="MS Mincho" w:hAnsi="Palatino Linotype" w:cs="Arial"/>
          <w:b/>
          <w:i/>
          <w:sz w:val="24"/>
          <w:szCs w:val="24"/>
          <w:lang w:eastAsia="es-ES"/>
        </w:rPr>
        <w:t>personal que se encuentra comisionado a otra área, en el que se establezca preferentemente el inicio y término de la comisión.</w:t>
      </w:r>
    </w:p>
    <w:p w:rsidR="00625761" w:rsidRPr="00625761" w:rsidRDefault="00625761" w:rsidP="00625761">
      <w:pPr>
        <w:numPr>
          <w:ilvl w:val="0"/>
          <w:numId w:val="5"/>
        </w:numPr>
        <w:autoSpaceDE w:val="0"/>
        <w:autoSpaceDN w:val="0"/>
        <w:adjustRightInd w:val="0"/>
        <w:spacing w:before="240" w:after="240" w:line="360" w:lineRule="auto"/>
        <w:ind w:right="49"/>
        <w:jc w:val="both"/>
        <w:rPr>
          <w:rFonts w:ascii="Palatino Linotype" w:eastAsia="MS Mincho" w:hAnsi="Palatino Linotype" w:cs="Arial"/>
          <w:b/>
          <w:i/>
          <w:sz w:val="24"/>
          <w:szCs w:val="24"/>
          <w:lang w:eastAsia="es-ES"/>
        </w:rPr>
      </w:pPr>
      <w:r w:rsidRPr="00625761">
        <w:rPr>
          <w:rFonts w:ascii="Palatino Linotype" w:eastAsia="Times New Roman" w:hAnsi="Palatino Linotype" w:cs="Arial"/>
          <w:b/>
          <w:i/>
          <w:sz w:val="24"/>
          <w:szCs w:val="19"/>
          <w:lang w:val="es-ES" w:eastAsia="es-MX"/>
        </w:rPr>
        <w:t>Expresión documental que contenga de los servidores públicos de base y confianza, nombre, cargo y Dirección de adscripción.</w:t>
      </w:r>
    </w:p>
    <w:p w:rsidR="00625761" w:rsidRPr="00625761" w:rsidRDefault="00625761" w:rsidP="00625761">
      <w:pPr>
        <w:numPr>
          <w:ilvl w:val="0"/>
          <w:numId w:val="5"/>
        </w:numPr>
        <w:autoSpaceDE w:val="0"/>
        <w:autoSpaceDN w:val="0"/>
        <w:adjustRightInd w:val="0"/>
        <w:spacing w:before="240" w:after="240" w:line="360" w:lineRule="auto"/>
        <w:ind w:right="49"/>
        <w:jc w:val="both"/>
        <w:rPr>
          <w:rFonts w:ascii="Palatino Linotype" w:eastAsia="MS Mincho" w:hAnsi="Palatino Linotype" w:cs="Arial"/>
          <w:b/>
          <w:i/>
          <w:sz w:val="24"/>
          <w:szCs w:val="24"/>
          <w:lang w:eastAsia="es-ES"/>
        </w:rPr>
      </w:pPr>
      <w:r w:rsidRPr="00625761">
        <w:rPr>
          <w:rFonts w:ascii="Palatino Linotype" w:eastAsia="Times New Roman" w:hAnsi="Palatino Linotype" w:cs="Arial"/>
          <w:b/>
          <w:i/>
          <w:sz w:val="24"/>
          <w:szCs w:val="24"/>
          <w:lang w:val="es-ES" w:eastAsia="es-MX"/>
        </w:rPr>
        <w:t>Presupuestos asignado a cada Dirección del Organismo.</w:t>
      </w:r>
    </w:p>
    <w:p w:rsidR="00625761" w:rsidRPr="00625761" w:rsidRDefault="00625761" w:rsidP="00625761">
      <w:pPr>
        <w:autoSpaceDE w:val="0"/>
        <w:autoSpaceDN w:val="0"/>
        <w:adjustRightInd w:val="0"/>
        <w:spacing w:before="240" w:after="240" w:line="360" w:lineRule="auto"/>
        <w:ind w:left="1287" w:right="49"/>
        <w:jc w:val="both"/>
        <w:rPr>
          <w:rFonts w:ascii="Palatino Linotype" w:eastAsia="MS Mincho" w:hAnsi="Palatino Linotype" w:cs="Arial"/>
          <w:b/>
          <w:sz w:val="24"/>
          <w:szCs w:val="24"/>
          <w:lang w:eastAsia="es-ES"/>
        </w:rPr>
      </w:pPr>
    </w:p>
    <w:p w:rsidR="00625761" w:rsidRPr="00625761" w:rsidRDefault="00625761" w:rsidP="00625761">
      <w:pPr>
        <w:autoSpaceDE w:val="0"/>
        <w:autoSpaceDN w:val="0"/>
        <w:adjustRightInd w:val="0"/>
        <w:spacing w:before="120" w:after="120" w:line="240" w:lineRule="auto"/>
        <w:ind w:left="567" w:right="618"/>
        <w:jc w:val="both"/>
        <w:rPr>
          <w:rFonts w:ascii="Palatino Linotype" w:eastAsia="Times New Roman" w:hAnsi="Palatino Linotype" w:cs="Arial"/>
          <w:i/>
          <w:sz w:val="20"/>
          <w:szCs w:val="20"/>
          <w:lang w:val="es-ES" w:eastAsia="es-ES"/>
        </w:rPr>
      </w:pPr>
      <w:r w:rsidRPr="00625761">
        <w:rPr>
          <w:rFonts w:ascii="Palatino Linotype" w:eastAsia="Times New Roman" w:hAnsi="Palatino Linotype" w:cs="Arial"/>
          <w:i/>
          <w:sz w:val="20"/>
          <w:szCs w:val="20"/>
          <w:lang w:val="es-ES" w:eastAsia="es-ES"/>
        </w:rPr>
        <w:t xml:space="preserve">Para la entrega en versión pública, deberá emitir el Acuerdo del Comité de Transparencia en términos de la Ley de Transparencia y Acceso a la Información Pública del Estado de México y </w:t>
      </w:r>
      <w:r w:rsidRPr="00625761">
        <w:rPr>
          <w:rFonts w:ascii="Palatino Linotype" w:eastAsia="Times New Roman" w:hAnsi="Palatino Linotype" w:cs="Arial"/>
          <w:i/>
          <w:sz w:val="20"/>
          <w:szCs w:val="20"/>
          <w:lang w:val="es-ES" w:eastAsia="es-ES"/>
        </w:rPr>
        <w:lastRenderedPageBreak/>
        <w:t xml:space="preserve">Municipios, en el que funde y motive las razones sobre los datos que se supriman o eliminen y se ponga a disposición del </w:t>
      </w:r>
      <w:r w:rsidRPr="00625761">
        <w:rPr>
          <w:rFonts w:ascii="Palatino Linotype" w:eastAsia="Times New Roman" w:hAnsi="Palatino Linotype" w:cs="Arial"/>
          <w:b/>
          <w:i/>
          <w:sz w:val="20"/>
          <w:szCs w:val="20"/>
          <w:lang w:val="es-ES" w:eastAsia="es-ES"/>
        </w:rPr>
        <w:t>Recurrente</w:t>
      </w:r>
      <w:r w:rsidRPr="00625761">
        <w:rPr>
          <w:rFonts w:ascii="Palatino Linotype" w:eastAsia="Times New Roman" w:hAnsi="Palatino Linotype" w:cs="Arial"/>
          <w:i/>
          <w:sz w:val="20"/>
          <w:szCs w:val="20"/>
          <w:lang w:val="es-ES" w:eastAsia="es-ES"/>
        </w:rPr>
        <w:t>.</w:t>
      </w:r>
    </w:p>
    <w:p w:rsidR="00625761" w:rsidRPr="00625761" w:rsidRDefault="00625761" w:rsidP="00625761">
      <w:pPr>
        <w:spacing w:before="120" w:after="120" w:line="240" w:lineRule="auto"/>
        <w:ind w:left="567" w:right="618"/>
        <w:jc w:val="both"/>
        <w:rPr>
          <w:rFonts w:ascii="Palatino Linotype" w:eastAsia="Times New Roman" w:hAnsi="Palatino Linotype" w:cs="Arial"/>
          <w:i/>
          <w:sz w:val="20"/>
          <w:szCs w:val="20"/>
          <w:u w:val="single"/>
          <w:lang w:val="es-ES" w:eastAsia="es-ES"/>
        </w:rPr>
      </w:pPr>
      <w:r w:rsidRPr="00625761">
        <w:rPr>
          <w:rFonts w:ascii="Palatino Linotype" w:eastAsia="Times New Roman" w:hAnsi="Palatino Linotype" w:cs="Arial"/>
          <w:i/>
          <w:sz w:val="20"/>
          <w:szCs w:val="20"/>
          <w:u w:val="single"/>
          <w:lang w:val="es-ES" w:eastAsia="es-ES"/>
        </w:rPr>
        <w:t xml:space="preserve">En el caso de no poseer la información ordenada en el numeral 4, 6 y 7, bastará con el sólo pronunciamiento por parte del </w:t>
      </w:r>
      <w:r w:rsidRPr="00625761">
        <w:rPr>
          <w:rFonts w:ascii="Palatino Linotype" w:eastAsia="Times New Roman" w:hAnsi="Palatino Linotype" w:cs="Arial"/>
          <w:b/>
          <w:i/>
          <w:sz w:val="20"/>
          <w:szCs w:val="20"/>
          <w:u w:val="single"/>
          <w:lang w:val="es-ES" w:eastAsia="es-ES"/>
        </w:rPr>
        <w:t>Sujeto Obligado</w:t>
      </w:r>
      <w:r w:rsidRPr="00625761">
        <w:rPr>
          <w:rFonts w:ascii="Palatino Linotype" w:eastAsia="Times New Roman" w:hAnsi="Palatino Linotype" w:cs="Arial"/>
          <w:i/>
          <w:sz w:val="20"/>
          <w:szCs w:val="20"/>
          <w:u w:val="single"/>
          <w:lang w:val="es-ES" w:eastAsia="es-ES"/>
        </w:rPr>
        <w:t xml:space="preserve"> de no tenerla, para tener por colmado el requerimiento de información.</w:t>
      </w:r>
    </w:p>
    <w:p w:rsidR="00E57020" w:rsidRPr="00E57020" w:rsidRDefault="00E57020" w:rsidP="00E57020">
      <w:pPr>
        <w:ind w:left="720"/>
        <w:contextualSpacing/>
        <w:rPr>
          <w:rFonts w:ascii="Palatino Linotype" w:hAnsi="Palatino Linotype" w:cs="Arial"/>
          <w:i/>
          <w:sz w:val="24"/>
          <w:szCs w:val="24"/>
          <w:u w:val="single"/>
        </w:rPr>
      </w:pPr>
    </w:p>
    <w:p w:rsidR="0075314D" w:rsidRPr="0075314D" w:rsidRDefault="00E57020" w:rsidP="00E57020">
      <w:pPr>
        <w:numPr>
          <w:ilvl w:val="0"/>
          <w:numId w:val="1"/>
        </w:numPr>
        <w:spacing w:before="240" w:after="240" w:line="360" w:lineRule="auto"/>
        <w:ind w:left="426" w:hanging="426"/>
        <w:contextualSpacing/>
        <w:jc w:val="both"/>
        <w:rPr>
          <w:rFonts w:ascii="Palatino Linotype" w:eastAsia="Times New Roman" w:hAnsi="Palatino Linotype" w:cs="Arial"/>
          <w:i/>
          <w:sz w:val="24"/>
          <w:szCs w:val="24"/>
          <w:lang w:val="es-ES" w:eastAsia="es-MX"/>
        </w:rPr>
      </w:pPr>
      <w:r w:rsidRPr="00E57020">
        <w:rPr>
          <w:rFonts w:ascii="Palatino Linotype" w:hAnsi="Palatino Linotype" w:cs="Arial"/>
          <w:sz w:val="24"/>
          <w:szCs w:val="24"/>
        </w:rPr>
        <w:t xml:space="preserve">Mi voto particular se deriva de dos aspectos contenidos en el Considerando </w:t>
      </w:r>
      <w:r w:rsidRPr="00E57020">
        <w:rPr>
          <w:rFonts w:ascii="Palatino Linotype" w:hAnsi="Palatino Linotype" w:cs="Arial"/>
          <w:b/>
          <w:sz w:val="24"/>
          <w:szCs w:val="24"/>
        </w:rPr>
        <w:t>QUINTO</w:t>
      </w:r>
      <w:r w:rsidRPr="00E57020">
        <w:rPr>
          <w:rFonts w:ascii="Palatino Linotype" w:hAnsi="Palatino Linotype" w:cs="Arial"/>
          <w:sz w:val="24"/>
          <w:szCs w:val="24"/>
        </w:rPr>
        <w:t xml:space="preserve">, el primero de ellos es el que determina ordenar el acuerdo que sustente la </w:t>
      </w:r>
      <w:r w:rsidRPr="00E57020">
        <w:rPr>
          <w:rFonts w:ascii="Palatino Linotype" w:hAnsi="Palatino Linotype" w:cs="Arial"/>
          <w:b/>
          <w:sz w:val="24"/>
          <w:szCs w:val="24"/>
          <w:u w:val="single"/>
        </w:rPr>
        <w:t xml:space="preserve">versión pública </w:t>
      </w:r>
      <w:r w:rsidRPr="00E57020">
        <w:rPr>
          <w:rFonts w:ascii="Palatino Linotype" w:hAnsi="Palatino Linotype" w:cs="Arial"/>
          <w:sz w:val="24"/>
          <w:szCs w:val="24"/>
        </w:rPr>
        <w:t>del documento donde conste l</w:t>
      </w:r>
      <w:r w:rsidRPr="00E57020">
        <w:rPr>
          <w:rFonts w:ascii="Palatino Linotype" w:hAnsi="Palatino Linotype" w:cs="Arial"/>
          <w:i/>
          <w:sz w:val="24"/>
          <w:szCs w:val="24"/>
        </w:rPr>
        <w:t xml:space="preserve">a </w:t>
      </w:r>
      <w:r w:rsidR="0075314D" w:rsidRPr="0075314D">
        <w:rPr>
          <w:rFonts w:ascii="Palatino Linotype" w:eastAsia="Times New Roman" w:hAnsi="Palatino Linotype" w:cs="Arial"/>
          <w:i/>
          <w:sz w:val="24"/>
          <w:szCs w:val="24"/>
          <w:lang w:val="es-ES" w:eastAsia="es-MX"/>
        </w:rPr>
        <w:t>solicitud de empleo o currículum vitae</w:t>
      </w:r>
      <w:r w:rsidRPr="00E57020">
        <w:rPr>
          <w:rFonts w:ascii="Palatino Linotype" w:hAnsi="Palatino Linotype" w:cs="Arial"/>
          <w:sz w:val="24"/>
          <w:szCs w:val="24"/>
        </w:rPr>
        <w:t xml:space="preserve">. El segundo aspecto es el relativo a </w:t>
      </w:r>
      <w:r w:rsidRPr="00E57020">
        <w:rPr>
          <w:rFonts w:ascii="Palatino Linotype" w:hAnsi="Palatino Linotype" w:cs="Arial"/>
          <w:i/>
          <w:sz w:val="24"/>
          <w:szCs w:val="24"/>
          <w:lang w:val="es-ES"/>
        </w:rPr>
        <w:t xml:space="preserve">ser el caso, </w:t>
      </w:r>
      <w:r w:rsidRPr="00E57020">
        <w:rPr>
          <w:rFonts w:ascii="Palatino Linotype" w:eastAsia="Times New Roman" w:hAnsi="Palatino Linotype" w:cs="Arial"/>
          <w:i/>
          <w:sz w:val="24"/>
          <w:szCs w:val="24"/>
          <w:lang w:val="es-ES" w:eastAsia="es-MX"/>
        </w:rPr>
        <w:t xml:space="preserve">que la información </w:t>
      </w:r>
      <w:r w:rsidR="0075314D" w:rsidRPr="0075314D">
        <w:rPr>
          <w:rFonts w:ascii="Palatino Linotype" w:eastAsia="Times New Roman" w:hAnsi="Palatino Linotype" w:cs="Arial"/>
          <w:i/>
          <w:sz w:val="24"/>
          <w:szCs w:val="24"/>
          <w:lang w:val="es-ES" w:eastAsia="es-MX"/>
        </w:rPr>
        <w:t>ordenada en el numeral 4, 6 y 7, bastará con el sólo pronunciamiento por parte del Sujeto Obligado de no tenerla, para tener por colmado el requerimiento de información.</w:t>
      </w:r>
    </w:p>
    <w:p w:rsidR="0075314D" w:rsidRPr="0075314D" w:rsidRDefault="0075314D" w:rsidP="0075314D">
      <w:pPr>
        <w:spacing w:before="240" w:after="240" w:line="360" w:lineRule="auto"/>
        <w:ind w:left="426"/>
        <w:contextualSpacing/>
        <w:jc w:val="both"/>
        <w:rPr>
          <w:rFonts w:ascii="Palatino Linotype" w:hAnsi="Palatino Linotype" w:cs="Arial"/>
          <w:i/>
          <w:sz w:val="24"/>
          <w:szCs w:val="24"/>
          <w:lang w:val="es-ES"/>
        </w:rPr>
      </w:pPr>
    </w:p>
    <w:p w:rsidR="00E57020" w:rsidRPr="00E57020" w:rsidRDefault="00E57020" w:rsidP="00E57020">
      <w:pPr>
        <w:numPr>
          <w:ilvl w:val="0"/>
          <w:numId w:val="1"/>
        </w:numPr>
        <w:spacing w:before="240" w:after="240" w:line="360" w:lineRule="auto"/>
        <w:ind w:left="426" w:hanging="426"/>
        <w:contextualSpacing/>
        <w:jc w:val="both"/>
        <w:rPr>
          <w:rFonts w:ascii="Palatino Linotype" w:hAnsi="Palatino Linotype" w:cs="Arial"/>
          <w:sz w:val="24"/>
          <w:szCs w:val="24"/>
        </w:rPr>
      </w:pPr>
      <w:r w:rsidRPr="00E57020">
        <w:rPr>
          <w:rFonts w:ascii="Palatino Linotype" w:hAnsi="Palatino Linotype" w:cs="Arial"/>
          <w:sz w:val="24"/>
          <w:szCs w:val="24"/>
        </w:rPr>
        <w:t xml:space="preserve">Por tal motivo y en términos de lo señalado por el artículo 14 fracción XI del Reglamento Interior del Instituto de Transparencia y Acceso a la Información Pública del Estado de México y Municipios formulo la presente voto particular. </w:t>
      </w:r>
    </w:p>
    <w:p w:rsidR="00E57020" w:rsidRPr="00E57020" w:rsidRDefault="00E57020" w:rsidP="00E57020">
      <w:pPr>
        <w:spacing w:before="240" w:after="240" w:line="360" w:lineRule="auto"/>
        <w:ind w:left="708"/>
        <w:contextualSpacing/>
        <w:jc w:val="both"/>
        <w:rPr>
          <w:rFonts w:ascii="Palatino Linotype" w:hAnsi="Palatino Linotype" w:cs="Arial"/>
          <w:sz w:val="24"/>
          <w:szCs w:val="24"/>
        </w:rPr>
      </w:pPr>
    </w:p>
    <w:p w:rsidR="00D75242" w:rsidRPr="00FA169B" w:rsidRDefault="00D75242" w:rsidP="00FA169B">
      <w:pPr>
        <w:pStyle w:val="Prrafodelista"/>
        <w:keepNext/>
        <w:keepLines/>
        <w:numPr>
          <w:ilvl w:val="0"/>
          <w:numId w:val="9"/>
        </w:numPr>
        <w:spacing w:before="40" w:after="0"/>
        <w:ind w:left="426"/>
        <w:outlineLvl w:val="1"/>
        <w:rPr>
          <w:rFonts w:ascii="Palatino Linotype" w:eastAsiaTheme="majorEastAsia" w:hAnsi="Palatino Linotype" w:cstheme="majorBidi"/>
          <w:b/>
          <w:color w:val="000000" w:themeColor="text1"/>
          <w:sz w:val="24"/>
          <w:szCs w:val="24"/>
        </w:rPr>
      </w:pPr>
      <w:bookmarkStart w:id="3" w:name="_Toc532831825"/>
      <w:bookmarkStart w:id="4" w:name="_Toc515893739"/>
      <w:r w:rsidRPr="00FA169B">
        <w:rPr>
          <w:rFonts w:ascii="Palatino Linotype" w:eastAsiaTheme="majorEastAsia" w:hAnsi="Palatino Linotype" w:cstheme="majorBidi"/>
          <w:b/>
          <w:color w:val="000000" w:themeColor="text1"/>
          <w:sz w:val="24"/>
          <w:szCs w:val="24"/>
        </w:rPr>
        <w:t>Inaplicabilidad en este caso el criterio empleado por la mayoría sobre la protección de la imagen de los servidores públicos</w:t>
      </w:r>
      <w:bookmarkEnd w:id="3"/>
    </w:p>
    <w:bookmarkEnd w:id="4"/>
    <w:p w:rsidR="00D75242" w:rsidRDefault="00D75242" w:rsidP="00E57020">
      <w:pPr>
        <w:spacing w:before="240" w:after="240" w:line="360" w:lineRule="auto"/>
        <w:ind w:left="708"/>
        <w:contextualSpacing/>
        <w:jc w:val="both"/>
        <w:rPr>
          <w:rFonts w:ascii="Palatino Linotype" w:eastAsiaTheme="majorEastAsia" w:hAnsi="Palatino Linotype" w:cstheme="majorBidi"/>
          <w:b/>
          <w:color w:val="000000" w:themeColor="text1"/>
          <w:sz w:val="24"/>
          <w:szCs w:val="24"/>
        </w:rPr>
      </w:pPr>
    </w:p>
    <w:p w:rsidR="00D75242" w:rsidRPr="00FA169B" w:rsidRDefault="00D75242" w:rsidP="00FA169B">
      <w:pPr>
        <w:pStyle w:val="Prrafodelista"/>
        <w:numPr>
          <w:ilvl w:val="0"/>
          <w:numId w:val="1"/>
        </w:numPr>
        <w:tabs>
          <w:tab w:val="left" w:pos="567"/>
        </w:tabs>
        <w:spacing w:after="0" w:line="360" w:lineRule="auto"/>
        <w:ind w:right="49"/>
        <w:jc w:val="both"/>
        <w:rPr>
          <w:rFonts w:ascii="Palatino Linotype" w:hAnsi="Palatino Linotype" w:cs="Arial"/>
          <w:color w:val="000000" w:themeColor="text1"/>
          <w:sz w:val="24"/>
          <w:szCs w:val="24"/>
        </w:rPr>
      </w:pPr>
      <w:r w:rsidRPr="00FA169B">
        <w:rPr>
          <w:rFonts w:ascii="Palatino Linotype" w:hAnsi="Palatino Linotype" w:cs="Arial"/>
          <w:color w:val="000000" w:themeColor="text1"/>
          <w:sz w:val="24"/>
          <w:szCs w:val="24"/>
        </w:rPr>
        <w:t>Aunque soy de la plena convicción de que los documentos en los que consta información relacionada con la idoneidad, trayectoria profesional, laboral o política de los funcionarios públicos debe entregarse a las personas que los solicitan, sin testar las fotografías, han sido diversos los recursos de revisión que ha resuelto este Pleno en el que la mayoría ha decidido otorgar una especial protección a las fotografías de los servidores públicos que constan en distintos documentos que forman parte de su expediente laboral y que acreditan su formación profesional.</w:t>
      </w:r>
    </w:p>
    <w:p w:rsidR="00D75242" w:rsidRDefault="00D75242" w:rsidP="00D75242">
      <w:pPr>
        <w:pStyle w:val="Prrafodelista"/>
        <w:tabs>
          <w:tab w:val="left" w:pos="567"/>
        </w:tabs>
        <w:spacing w:after="0" w:line="360" w:lineRule="auto"/>
        <w:ind w:left="426" w:right="49"/>
        <w:jc w:val="both"/>
        <w:rPr>
          <w:rFonts w:ascii="Palatino Linotype" w:hAnsi="Palatino Linotype" w:cs="Arial"/>
          <w:b/>
          <w:sz w:val="24"/>
          <w:szCs w:val="24"/>
        </w:rPr>
      </w:pPr>
    </w:p>
    <w:p w:rsidR="00D75242" w:rsidRPr="00FA169B" w:rsidRDefault="00D75242" w:rsidP="00FA169B">
      <w:pPr>
        <w:pStyle w:val="Prrafodelista"/>
        <w:numPr>
          <w:ilvl w:val="0"/>
          <w:numId w:val="1"/>
        </w:numPr>
        <w:tabs>
          <w:tab w:val="left" w:pos="567"/>
        </w:tabs>
        <w:spacing w:after="0" w:line="360" w:lineRule="auto"/>
        <w:ind w:right="49"/>
        <w:jc w:val="both"/>
        <w:rPr>
          <w:rFonts w:ascii="Palatino Linotype" w:hAnsi="Palatino Linotype" w:cs="Arial"/>
          <w:b/>
          <w:sz w:val="24"/>
          <w:szCs w:val="24"/>
        </w:rPr>
      </w:pPr>
      <w:r w:rsidRPr="00FA169B">
        <w:rPr>
          <w:rFonts w:ascii="Palatino Linotype" w:hAnsi="Palatino Linotype" w:cs="Arial"/>
          <w:color w:val="000000" w:themeColor="text1"/>
          <w:sz w:val="24"/>
          <w:szCs w:val="24"/>
        </w:rPr>
        <w:t>El argumento esgrimido, en esos casos, ha consistido en señalar que los titulares de las cédulas y títulos profesionales, al momento de concluir sus estudios y al obtener dichas patentes, no contaban con la condición de servidores públicos y que, por lo tanto, la imagen representaba un momento en el cual no existía un vínculo entre dichas personas y la función de gobierno.</w:t>
      </w:r>
    </w:p>
    <w:p w:rsidR="00D75242" w:rsidRPr="00D75242" w:rsidRDefault="00D75242" w:rsidP="00D75242">
      <w:pPr>
        <w:pStyle w:val="Prrafodelista"/>
        <w:rPr>
          <w:rFonts w:ascii="Palatino Linotype" w:hAnsi="Palatino Linotype" w:cs="Arial"/>
          <w:color w:val="000000" w:themeColor="text1"/>
          <w:sz w:val="24"/>
          <w:szCs w:val="24"/>
        </w:rPr>
      </w:pPr>
    </w:p>
    <w:p w:rsidR="00D75242" w:rsidRDefault="00D75242" w:rsidP="00FA169B">
      <w:pPr>
        <w:pStyle w:val="Prrafodelista"/>
        <w:numPr>
          <w:ilvl w:val="0"/>
          <w:numId w:val="1"/>
        </w:numPr>
        <w:tabs>
          <w:tab w:val="left" w:pos="567"/>
        </w:tabs>
        <w:spacing w:after="0" w:line="360" w:lineRule="auto"/>
        <w:ind w:left="426" w:right="49" w:hanging="426"/>
        <w:jc w:val="both"/>
        <w:rPr>
          <w:rFonts w:ascii="Palatino Linotype" w:hAnsi="Palatino Linotype" w:cs="Arial"/>
          <w:b/>
          <w:sz w:val="24"/>
          <w:szCs w:val="24"/>
        </w:rPr>
      </w:pPr>
      <w:r w:rsidRPr="00D75242">
        <w:rPr>
          <w:rFonts w:ascii="Palatino Linotype" w:hAnsi="Palatino Linotype" w:cs="Arial"/>
          <w:color w:val="000000" w:themeColor="text1"/>
          <w:sz w:val="24"/>
          <w:szCs w:val="24"/>
        </w:rPr>
        <w:t>No obstante lo anterior, en todos estos casos he fijado una posición diferente a la de la mayoría en razón de que la versión pública de dichas documentales le resta valor a los mismos, ya que la simultánea concurrencia del nombre, fotografía, profesión, clave o número, institución, fecha de expedición, entre otros elementos, es justamente lo que le otorga veracidad total al documento. Y la falta de cualquiera de ellos impide que la persona acceda a la información que pretende para generarse una opinión informada o para, en su caso, ejercer cualquier procedimiento de control administrativo o penal, según considere pertinente.</w:t>
      </w:r>
    </w:p>
    <w:p w:rsidR="00D75242" w:rsidRPr="00D75242" w:rsidRDefault="00D75242" w:rsidP="00D75242">
      <w:pPr>
        <w:pStyle w:val="Prrafodelista"/>
        <w:rPr>
          <w:rFonts w:ascii="Palatino Linotype" w:hAnsi="Palatino Linotype" w:cs="Arial"/>
          <w:color w:val="000000" w:themeColor="text1"/>
          <w:sz w:val="24"/>
          <w:szCs w:val="24"/>
        </w:rPr>
      </w:pPr>
    </w:p>
    <w:p w:rsidR="00D75242" w:rsidRPr="00D75242" w:rsidRDefault="00D75242" w:rsidP="00FA169B">
      <w:pPr>
        <w:pStyle w:val="Prrafodelista"/>
        <w:numPr>
          <w:ilvl w:val="0"/>
          <w:numId w:val="1"/>
        </w:numPr>
        <w:tabs>
          <w:tab w:val="left" w:pos="567"/>
        </w:tabs>
        <w:spacing w:after="0" w:line="360" w:lineRule="auto"/>
        <w:ind w:left="426" w:right="49" w:hanging="426"/>
        <w:jc w:val="both"/>
        <w:rPr>
          <w:rFonts w:ascii="Palatino Linotype" w:hAnsi="Palatino Linotype" w:cs="Arial"/>
          <w:b/>
          <w:sz w:val="24"/>
          <w:szCs w:val="24"/>
        </w:rPr>
      </w:pPr>
      <w:r w:rsidRPr="00D75242">
        <w:rPr>
          <w:rFonts w:ascii="Palatino Linotype" w:hAnsi="Palatino Linotype" w:cs="Arial"/>
          <w:color w:val="000000" w:themeColor="text1"/>
          <w:sz w:val="24"/>
          <w:szCs w:val="24"/>
        </w:rPr>
        <w:t xml:space="preserve">Pero en el caso en cuestión, dicho argumento pierde todo punto de apoyo ya que se trata de documentos elaborados, precisamente en el momento en el que el servidor público adquiere esa condición, ya que incluye una fotografía que se vincula a sus referencias profesionales y laborales previas hasta llegar precisamente al cargo que ahora ocupa. Por lo que se puede decir, sin temor a equivocarme, que es un documento actualizable y que se genera precisamente para su entrega en esta ocasión y, en no pocas ocasiones, incluso para su difusión pública en los sitios electrónicos oficiales ya que con el mismo la persona pretende acreditar la autenticidad del documento al tratarse de la misma persona que hace entrega de él, la idoneidad o experiencia para </w:t>
      </w:r>
      <w:r w:rsidRPr="00D75242">
        <w:rPr>
          <w:rFonts w:ascii="Palatino Linotype" w:hAnsi="Palatino Linotype" w:cs="Arial"/>
          <w:color w:val="000000" w:themeColor="text1"/>
          <w:sz w:val="24"/>
          <w:szCs w:val="24"/>
        </w:rPr>
        <w:lastRenderedPageBreak/>
        <w:t>desempeñar un cargo público y generar, en la sociedad, una percepción favorable a su desempeño.</w:t>
      </w:r>
    </w:p>
    <w:p w:rsidR="00D75242" w:rsidRPr="003C210B" w:rsidRDefault="00D75242" w:rsidP="00D75242">
      <w:pPr>
        <w:pStyle w:val="Prrafodelista"/>
        <w:spacing w:after="0" w:line="360" w:lineRule="auto"/>
        <w:ind w:left="0"/>
        <w:jc w:val="both"/>
        <w:rPr>
          <w:rFonts w:ascii="Palatino Linotype" w:hAnsi="Palatino Linotype" w:cs="Arial"/>
          <w:color w:val="000000" w:themeColor="text1"/>
          <w:sz w:val="24"/>
          <w:szCs w:val="24"/>
        </w:rPr>
      </w:pPr>
    </w:p>
    <w:p w:rsidR="00D75242" w:rsidRPr="003C210B" w:rsidRDefault="00FA169B" w:rsidP="00D75242">
      <w:pPr>
        <w:keepNext/>
        <w:keepLines/>
        <w:spacing w:after="0"/>
        <w:outlineLvl w:val="0"/>
        <w:rPr>
          <w:rFonts w:ascii="Palatino Linotype" w:eastAsiaTheme="majorEastAsia" w:hAnsi="Palatino Linotype" w:cstheme="majorBidi"/>
          <w:b/>
          <w:color w:val="000000" w:themeColor="text1"/>
          <w:sz w:val="24"/>
          <w:szCs w:val="24"/>
        </w:rPr>
      </w:pPr>
      <w:bookmarkStart w:id="5" w:name="_Toc447988881"/>
      <w:bookmarkStart w:id="6" w:name="_Toc477524840"/>
      <w:bookmarkStart w:id="7" w:name="_Toc532831826"/>
      <w:r>
        <w:rPr>
          <w:rFonts w:ascii="Palatino Linotype" w:eastAsiaTheme="majorEastAsia" w:hAnsi="Palatino Linotype" w:cstheme="majorBidi"/>
          <w:b/>
          <w:color w:val="000000" w:themeColor="text1"/>
          <w:sz w:val="24"/>
          <w:szCs w:val="24"/>
        </w:rPr>
        <w:t>III.</w:t>
      </w:r>
      <w:r w:rsidR="00D75242">
        <w:rPr>
          <w:rFonts w:ascii="Palatino Linotype" w:eastAsiaTheme="majorEastAsia" w:hAnsi="Palatino Linotype" w:cstheme="majorBidi"/>
          <w:b/>
          <w:color w:val="000000" w:themeColor="text1"/>
          <w:sz w:val="24"/>
          <w:szCs w:val="24"/>
        </w:rPr>
        <w:t xml:space="preserve"> </w:t>
      </w:r>
      <w:r w:rsidR="00D75242" w:rsidRPr="003C210B">
        <w:rPr>
          <w:rFonts w:ascii="Palatino Linotype" w:eastAsiaTheme="majorEastAsia" w:hAnsi="Palatino Linotype" w:cstheme="majorBidi"/>
          <w:b/>
          <w:color w:val="000000" w:themeColor="text1"/>
          <w:sz w:val="24"/>
          <w:szCs w:val="24"/>
        </w:rPr>
        <w:t>La naturaleza de la función pública que se desempeña.</w:t>
      </w:r>
      <w:bookmarkEnd w:id="5"/>
      <w:bookmarkEnd w:id="6"/>
      <w:bookmarkEnd w:id="7"/>
    </w:p>
    <w:p w:rsidR="00D75242" w:rsidRPr="003C210B" w:rsidRDefault="00D75242" w:rsidP="00D75242">
      <w:pPr>
        <w:pStyle w:val="Prrafodelista"/>
        <w:spacing w:after="0" w:line="360" w:lineRule="auto"/>
        <w:ind w:left="0"/>
        <w:jc w:val="both"/>
        <w:rPr>
          <w:rFonts w:ascii="Palatino Linotype" w:hAnsi="Palatino Linotype" w:cs="Arial"/>
          <w:color w:val="000000" w:themeColor="text1"/>
          <w:sz w:val="24"/>
          <w:szCs w:val="24"/>
        </w:rPr>
      </w:pPr>
    </w:p>
    <w:p w:rsidR="00D75242" w:rsidRPr="003C210B" w:rsidRDefault="00D75242" w:rsidP="00FA169B">
      <w:pPr>
        <w:pStyle w:val="Prrafodelista"/>
        <w:numPr>
          <w:ilvl w:val="0"/>
          <w:numId w:val="1"/>
        </w:numPr>
        <w:spacing w:after="0" w:line="360" w:lineRule="auto"/>
        <w:ind w:left="426" w:hanging="426"/>
        <w:jc w:val="both"/>
        <w:rPr>
          <w:rFonts w:ascii="Palatino Linotype" w:hAnsi="Palatino Linotype" w:cs="Arial"/>
          <w:color w:val="000000" w:themeColor="text1"/>
          <w:sz w:val="24"/>
          <w:szCs w:val="24"/>
        </w:rPr>
      </w:pPr>
      <w:r w:rsidRPr="003C210B">
        <w:rPr>
          <w:rFonts w:ascii="Palatino Linotype" w:hAnsi="Palatino Linotype" w:cs="Arial"/>
          <w:color w:val="000000" w:themeColor="text1"/>
          <w:sz w:val="24"/>
          <w:szCs w:val="24"/>
        </w:rPr>
        <w:t>Debo decir que, en todos los casos anteriores y en el presente, nos encontramos ante una persona que ejerce su derecho de acceso a la información pública requiriendo documentos relacionados con servidores públicos, y si bien es cierto que la condición de agente gubernamental no implica que la persona pierda sus derechos, entre ellos, el de protección de datos personales, también lo es que la doctrina interamericana en materia de derechos humanos señala que los funcionarios públicos nos encontramos sujetos a un régimen de excepciones o de protección más limitado,</w:t>
      </w:r>
      <w:r w:rsidRPr="003C210B">
        <w:rPr>
          <w:sz w:val="24"/>
          <w:szCs w:val="24"/>
          <w:vertAlign w:val="superscript"/>
        </w:rPr>
        <w:footnoteReference w:id="1"/>
      </w:r>
      <w:r w:rsidRPr="003C210B">
        <w:rPr>
          <w:rFonts w:ascii="Palatino Linotype" w:hAnsi="Palatino Linotype" w:cs="Arial"/>
          <w:color w:val="000000" w:themeColor="text1"/>
          <w:sz w:val="24"/>
          <w:szCs w:val="24"/>
        </w:rPr>
        <w:t xml:space="preserve"> restringido en razón de la naturaleza de la función </w:t>
      </w:r>
      <w:r w:rsidRPr="003C210B">
        <w:rPr>
          <w:rFonts w:ascii="Palatino Linotype" w:hAnsi="Palatino Linotype" w:cs="Arial"/>
          <w:color w:val="000000" w:themeColor="text1"/>
          <w:sz w:val="24"/>
          <w:szCs w:val="24"/>
        </w:rPr>
        <w:lastRenderedPageBreak/>
        <w:t>pública en sí misma</w:t>
      </w:r>
      <w:r w:rsidRPr="003C210B">
        <w:rPr>
          <w:color w:val="000000" w:themeColor="text1"/>
          <w:sz w:val="24"/>
          <w:szCs w:val="24"/>
          <w:vertAlign w:val="superscript"/>
        </w:rPr>
        <w:footnoteReference w:id="2"/>
      </w:r>
      <w:r w:rsidRPr="003C210B">
        <w:rPr>
          <w:rFonts w:ascii="Palatino Linotype" w:hAnsi="Palatino Linotype" w:cs="Arial"/>
          <w:color w:val="000000" w:themeColor="text1"/>
          <w:sz w:val="24"/>
          <w:szCs w:val="24"/>
        </w:rPr>
        <w:t xml:space="preserve"> y del contenido de la propia información que se ha requerido.</w:t>
      </w:r>
      <w:r w:rsidRPr="003C210B">
        <w:rPr>
          <w:color w:val="000000" w:themeColor="text1"/>
          <w:sz w:val="24"/>
          <w:szCs w:val="24"/>
          <w:vertAlign w:val="superscript"/>
        </w:rPr>
        <w:footnoteReference w:id="3"/>
      </w:r>
      <w:r w:rsidRPr="003C210B">
        <w:rPr>
          <w:rFonts w:ascii="Palatino Linotype" w:hAnsi="Palatino Linotype" w:cs="Arial"/>
          <w:color w:val="000000" w:themeColor="text1"/>
          <w:sz w:val="24"/>
          <w:szCs w:val="24"/>
        </w:rPr>
        <w:t xml:space="preserve"> En este sentido han sido diversos los pronunciamientos de las altas cortes del </w:t>
      </w:r>
      <w:r w:rsidRPr="003C210B">
        <w:rPr>
          <w:rFonts w:ascii="Palatino Linotype" w:hAnsi="Palatino Linotype" w:cs="Arial"/>
          <w:color w:val="000000" w:themeColor="text1"/>
        </w:rPr>
        <w:t xml:space="preserve">continente </w:t>
      </w:r>
      <w:r w:rsidRPr="003C210B">
        <w:rPr>
          <w:rFonts w:ascii="Palatino Linotype" w:hAnsi="Palatino Linotype" w:cs="Arial"/>
          <w:color w:val="000000" w:themeColor="text1"/>
          <w:sz w:val="24"/>
          <w:szCs w:val="24"/>
        </w:rPr>
        <w:t>haciendo que prevalezca el principio de máxima publicidad.</w:t>
      </w:r>
      <w:r w:rsidRPr="003C210B">
        <w:rPr>
          <w:color w:val="000000" w:themeColor="text1"/>
          <w:sz w:val="24"/>
          <w:szCs w:val="24"/>
          <w:vertAlign w:val="superscript"/>
        </w:rPr>
        <w:footnoteReference w:id="4"/>
      </w:r>
      <w:r w:rsidRPr="003C210B">
        <w:rPr>
          <w:rFonts w:ascii="Palatino Linotype" w:hAnsi="Palatino Linotype" w:cs="Arial"/>
          <w:color w:val="000000" w:themeColor="text1"/>
          <w:sz w:val="24"/>
          <w:szCs w:val="24"/>
        </w:rPr>
        <w:t xml:space="preserve"> Por lo que es del todo desproporcionado dictar medidas que, en los hechos, impiden que las personas accedan a la información suficiente para generarse una opinión informada de manera integral y, a partir de ahí, manifestar sus opiniones o iniciar procedimientos administrativos o penales, de apreciar que se hubiera actualizado cualquier irregularidad sancionable. </w:t>
      </w:r>
    </w:p>
    <w:p w:rsidR="00D75242" w:rsidRDefault="00D75242" w:rsidP="00D75242">
      <w:pPr>
        <w:pStyle w:val="Prrafodelista"/>
        <w:tabs>
          <w:tab w:val="left" w:pos="567"/>
        </w:tabs>
        <w:spacing w:after="0" w:line="360" w:lineRule="auto"/>
        <w:ind w:left="0" w:right="49"/>
        <w:jc w:val="both"/>
        <w:rPr>
          <w:rFonts w:ascii="Palatino Linotype" w:hAnsi="Palatino Linotype" w:cs="Arial"/>
          <w:b/>
          <w:sz w:val="24"/>
          <w:szCs w:val="24"/>
        </w:rPr>
      </w:pPr>
    </w:p>
    <w:p w:rsidR="00D75242" w:rsidRPr="0046455F" w:rsidRDefault="00FA169B" w:rsidP="0046455F">
      <w:pPr>
        <w:keepNext/>
        <w:keepLines/>
        <w:spacing w:after="0"/>
        <w:outlineLvl w:val="0"/>
        <w:rPr>
          <w:rFonts w:ascii="Palatino Linotype" w:eastAsiaTheme="majorEastAsia" w:hAnsi="Palatino Linotype" w:cstheme="majorBidi"/>
          <w:b/>
          <w:color w:val="000000" w:themeColor="text1"/>
          <w:sz w:val="24"/>
          <w:szCs w:val="24"/>
        </w:rPr>
      </w:pPr>
      <w:bookmarkStart w:id="8" w:name="_Toc447988882"/>
      <w:bookmarkStart w:id="9" w:name="_Toc477524841"/>
      <w:bookmarkStart w:id="10" w:name="_Toc532831827"/>
      <w:r>
        <w:rPr>
          <w:rFonts w:ascii="Palatino Linotype" w:eastAsiaTheme="majorEastAsia" w:hAnsi="Palatino Linotype" w:cstheme="majorBidi"/>
          <w:b/>
          <w:color w:val="000000" w:themeColor="text1"/>
          <w:sz w:val="24"/>
          <w:szCs w:val="24"/>
        </w:rPr>
        <w:t>IV</w:t>
      </w:r>
      <w:r w:rsidR="0046455F">
        <w:rPr>
          <w:rFonts w:ascii="Palatino Linotype" w:eastAsiaTheme="majorEastAsia" w:hAnsi="Palatino Linotype" w:cstheme="majorBidi"/>
          <w:b/>
          <w:color w:val="000000" w:themeColor="text1"/>
          <w:sz w:val="24"/>
          <w:szCs w:val="24"/>
        </w:rPr>
        <w:t>.</w:t>
      </w:r>
      <w:r w:rsidR="00D75242" w:rsidRPr="0046455F">
        <w:rPr>
          <w:rFonts w:ascii="Palatino Linotype" w:eastAsiaTheme="majorEastAsia" w:hAnsi="Palatino Linotype" w:cstheme="majorBidi"/>
          <w:b/>
          <w:color w:val="000000" w:themeColor="text1"/>
          <w:sz w:val="24"/>
          <w:szCs w:val="24"/>
        </w:rPr>
        <w:t xml:space="preserve"> Restricciones legítimas al derecho a la privacidad.</w:t>
      </w:r>
      <w:bookmarkEnd w:id="8"/>
      <w:bookmarkEnd w:id="9"/>
      <w:bookmarkEnd w:id="10"/>
    </w:p>
    <w:p w:rsidR="00D75242" w:rsidRPr="00DA2BD4" w:rsidRDefault="00D75242" w:rsidP="00D75242">
      <w:pPr>
        <w:pStyle w:val="Prrafodelista"/>
        <w:tabs>
          <w:tab w:val="left" w:pos="567"/>
        </w:tabs>
        <w:spacing w:after="0" w:line="360" w:lineRule="auto"/>
        <w:ind w:left="0" w:right="49"/>
        <w:jc w:val="both"/>
        <w:rPr>
          <w:rFonts w:ascii="Palatino Linotype" w:hAnsi="Palatino Linotype" w:cs="Arial"/>
          <w:b/>
          <w:sz w:val="24"/>
          <w:szCs w:val="24"/>
        </w:rPr>
      </w:pPr>
    </w:p>
    <w:p w:rsidR="00D75242" w:rsidRPr="003C210B" w:rsidRDefault="00D75242" w:rsidP="00FA169B">
      <w:pPr>
        <w:pStyle w:val="Prrafodelista"/>
        <w:numPr>
          <w:ilvl w:val="0"/>
          <w:numId w:val="1"/>
        </w:numPr>
        <w:spacing w:after="0" w:line="360" w:lineRule="auto"/>
        <w:ind w:left="426" w:hanging="426"/>
        <w:jc w:val="both"/>
        <w:rPr>
          <w:rFonts w:ascii="Palatino Linotype" w:hAnsi="Palatino Linotype" w:cs="Arial"/>
          <w:color w:val="000000" w:themeColor="text1"/>
          <w:sz w:val="24"/>
          <w:szCs w:val="24"/>
        </w:rPr>
      </w:pPr>
      <w:r w:rsidRPr="003C210B">
        <w:rPr>
          <w:rFonts w:ascii="Palatino Linotype" w:hAnsi="Palatino Linotype" w:cs="Arial"/>
          <w:color w:val="000000" w:themeColor="text1"/>
          <w:sz w:val="24"/>
          <w:szCs w:val="24"/>
        </w:rPr>
        <w:t>Podría señalarse que el criterio que he sostenido constituye una restricción al derecho de protección de datos personales de las personas que desempeñan alguna función pública, lo cual es cierto ya que las mismas disposiciones señalan qu</w:t>
      </w:r>
      <w:r>
        <w:rPr>
          <w:rFonts w:ascii="Palatino Linotype" w:hAnsi="Palatino Linotype" w:cs="Arial"/>
          <w:color w:val="000000" w:themeColor="text1"/>
          <w:sz w:val="24"/>
          <w:szCs w:val="24"/>
        </w:rPr>
        <w:t xml:space="preserve">e ningún derecho es absoluto y </w:t>
      </w:r>
      <w:r w:rsidRPr="003C210B">
        <w:rPr>
          <w:rFonts w:ascii="Palatino Linotype" w:hAnsi="Palatino Linotype" w:cs="Arial"/>
          <w:color w:val="000000" w:themeColor="text1"/>
          <w:sz w:val="24"/>
          <w:szCs w:val="24"/>
        </w:rPr>
        <w:t xml:space="preserve">es dable establecer límites, siempre y cuando </w:t>
      </w:r>
      <w:r w:rsidRPr="003C210B">
        <w:rPr>
          <w:rFonts w:ascii="Palatino Linotype" w:hAnsi="Palatino Linotype" w:cs="Arial"/>
          <w:color w:val="000000" w:themeColor="text1"/>
          <w:sz w:val="24"/>
          <w:szCs w:val="24"/>
        </w:rPr>
        <w:lastRenderedPageBreak/>
        <w:t>se sujeten a procedimientos estrictos para la adecuada defensa de la dignidad humana y la propia viabilidad de la sociedad democrática, pero además, que exista un esfuerzo adecuado y proporcional de los titulares del derecho para propiciar su debido ejercicio.</w:t>
      </w:r>
    </w:p>
    <w:p w:rsidR="00D75242" w:rsidRPr="00DA2BD4" w:rsidRDefault="00D75242" w:rsidP="00D75242">
      <w:pPr>
        <w:pStyle w:val="Prrafodelista"/>
        <w:tabs>
          <w:tab w:val="left" w:pos="567"/>
        </w:tabs>
        <w:spacing w:after="0" w:line="360" w:lineRule="auto"/>
        <w:ind w:left="0" w:right="49"/>
        <w:jc w:val="both"/>
        <w:rPr>
          <w:rFonts w:ascii="Palatino Linotype" w:hAnsi="Palatino Linotype" w:cs="Arial"/>
          <w:b/>
          <w:sz w:val="24"/>
          <w:szCs w:val="24"/>
        </w:rPr>
      </w:pPr>
    </w:p>
    <w:p w:rsidR="00D75242" w:rsidRDefault="00D75242" w:rsidP="00FA169B">
      <w:pPr>
        <w:pStyle w:val="Prrafodelista"/>
        <w:numPr>
          <w:ilvl w:val="0"/>
          <w:numId w:val="1"/>
        </w:numPr>
        <w:spacing w:after="0" w:line="360" w:lineRule="auto"/>
        <w:ind w:left="426" w:hanging="426"/>
        <w:jc w:val="both"/>
        <w:rPr>
          <w:rFonts w:ascii="Palatino Linotype" w:hAnsi="Palatino Linotype" w:cs="Arial"/>
          <w:color w:val="000000" w:themeColor="text1"/>
          <w:sz w:val="24"/>
          <w:szCs w:val="24"/>
        </w:rPr>
      </w:pPr>
      <w:r w:rsidRPr="003C210B">
        <w:rPr>
          <w:rFonts w:ascii="Palatino Linotype" w:hAnsi="Palatino Linotype" w:cs="Arial"/>
          <w:color w:val="000000" w:themeColor="text1"/>
          <w:sz w:val="24"/>
          <w:szCs w:val="24"/>
        </w:rPr>
        <w:t>Para justificar el presente voto particular, vale la pena acudir a criterios de interpretación constitucional bajo el recurso del intérprete externo, según lo recomienda el Dr. Nestor Pedro Sagüés.</w:t>
      </w:r>
      <w:r w:rsidRPr="003C210B">
        <w:rPr>
          <w:sz w:val="24"/>
          <w:szCs w:val="24"/>
          <w:vertAlign w:val="superscript"/>
        </w:rPr>
        <w:footnoteReference w:id="5"/>
      </w:r>
      <w:r w:rsidRPr="003C210B">
        <w:rPr>
          <w:rFonts w:ascii="Palatino Linotype" w:hAnsi="Palatino Linotype" w:cs="Arial"/>
          <w:color w:val="000000" w:themeColor="text1"/>
          <w:sz w:val="24"/>
          <w:szCs w:val="24"/>
        </w:rPr>
        <w:t xml:space="preserve"> Para ello se acude a la interpretación de las más Altas Cortes, en primer lugar el Tribunal Constitucional Alemán y en segundo término el Tribunal de Estrasburgo.</w:t>
      </w:r>
    </w:p>
    <w:p w:rsidR="00D75242" w:rsidRDefault="00D75242" w:rsidP="00D75242">
      <w:pPr>
        <w:pStyle w:val="Prrafodelista"/>
        <w:spacing w:after="0" w:line="360" w:lineRule="auto"/>
        <w:ind w:left="0"/>
        <w:jc w:val="both"/>
        <w:rPr>
          <w:rFonts w:ascii="Palatino Linotype" w:hAnsi="Palatino Linotype" w:cs="Arial"/>
          <w:color w:val="000000" w:themeColor="text1"/>
          <w:sz w:val="24"/>
          <w:szCs w:val="24"/>
        </w:rPr>
      </w:pPr>
    </w:p>
    <w:p w:rsidR="00D75242" w:rsidRPr="003C210B" w:rsidRDefault="00D75242" w:rsidP="00FA169B">
      <w:pPr>
        <w:pStyle w:val="Prrafodelista"/>
        <w:numPr>
          <w:ilvl w:val="0"/>
          <w:numId w:val="1"/>
        </w:numPr>
        <w:spacing w:after="0" w:line="360" w:lineRule="auto"/>
        <w:ind w:left="426" w:hanging="426"/>
        <w:jc w:val="both"/>
        <w:rPr>
          <w:rFonts w:ascii="Palatino Linotype" w:hAnsi="Palatino Linotype" w:cs="Arial"/>
          <w:color w:val="000000" w:themeColor="text1"/>
          <w:sz w:val="24"/>
          <w:szCs w:val="24"/>
        </w:rPr>
      </w:pPr>
      <w:r w:rsidRPr="003C210B">
        <w:rPr>
          <w:rFonts w:ascii="Palatino Linotype" w:hAnsi="Palatino Linotype" w:cs="Arial"/>
          <w:color w:val="000000" w:themeColor="text1"/>
          <w:sz w:val="24"/>
          <w:szCs w:val="24"/>
        </w:rPr>
        <w:t>El Tribunal Constitucional Alemán en su sentencia sobre el espionaje acústico masivo, de 3 de marzo de 2004 (BVerfGE 190, 279) señala:</w:t>
      </w:r>
    </w:p>
    <w:p w:rsidR="00D75242" w:rsidRPr="005C02A6" w:rsidRDefault="00D75242" w:rsidP="00D75242">
      <w:pPr>
        <w:spacing w:line="360" w:lineRule="auto"/>
        <w:ind w:left="426" w:right="616"/>
        <w:contextualSpacing/>
        <w:jc w:val="both"/>
        <w:rPr>
          <w:rFonts w:ascii="Palatino Linotype" w:hAnsi="Palatino Linotype" w:cs="Arial"/>
          <w:color w:val="000000" w:themeColor="text1"/>
        </w:rPr>
      </w:pPr>
    </w:p>
    <w:p w:rsidR="00D75242" w:rsidRPr="00F54208" w:rsidRDefault="00D75242" w:rsidP="00D75242">
      <w:pPr>
        <w:spacing w:after="0" w:line="360" w:lineRule="auto"/>
        <w:ind w:left="567" w:right="616"/>
        <w:contextualSpacing/>
        <w:jc w:val="both"/>
        <w:rPr>
          <w:rFonts w:ascii="Palatino Linotype" w:hAnsi="Palatino Linotype" w:cs="Arial"/>
          <w:i/>
          <w:color w:val="000000" w:themeColor="text1"/>
        </w:rPr>
      </w:pPr>
      <w:r w:rsidRPr="005C02A6">
        <w:rPr>
          <w:rFonts w:ascii="Palatino Linotype" w:hAnsi="Palatino Linotype" w:cs="Arial"/>
          <w:i/>
          <w:color w:val="000000" w:themeColor="text1"/>
        </w:rPr>
        <w:t xml:space="preserve">“a)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BVerfGE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BVerfGE 100, 313, 376; 107, 299, 320). Además, la situación también es diferente dependiendo de si las medidas de investigación tienen </w:t>
      </w:r>
      <w:r w:rsidRPr="005C02A6">
        <w:rPr>
          <w:rFonts w:ascii="Palatino Linotype" w:hAnsi="Palatino Linotype" w:cs="Arial"/>
          <w:i/>
          <w:color w:val="000000" w:themeColor="text1"/>
        </w:rPr>
        <w:lastRenderedPageBreak/>
        <w:t>lugar en una vivienda privada o en espacios industriales o comerciales y de si se ven afectados terceros no sospechosos y del número de estos”.</w:t>
      </w:r>
      <w:r w:rsidRPr="005C02A6">
        <w:rPr>
          <w:rFonts w:ascii="Palatino Linotype" w:hAnsi="Palatino Linotype" w:cs="Arial"/>
          <w:i/>
          <w:color w:val="000000" w:themeColor="text1"/>
          <w:vertAlign w:val="superscript"/>
        </w:rPr>
        <w:footnoteReference w:id="6"/>
      </w:r>
    </w:p>
    <w:p w:rsidR="0046455F" w:rsidRDefault="0046455F" w:rsidP="0046455F">
      <w:pPr>
        <w:pStyle w:val="Prrafodelista"/>
        <w:spacing w:after="0" w:line="360" w:lineRule="auto"/>
        <w:ind w:left="426" w:hanging="426"/>
        <w:jc w:val="both"/>
        <w:rPr>
          <w:rFonts w:ascii="Palatino Linotype" w:hAnsi="Palatino Linotype" w:cs="Arial"/>
          <w:color w:val="000000" w:themeColor="text1"/>
          <w:sz w:val="24"/>
          <w:szCs w:val="24"/>
        </w:rPr>
      </w:pPr>
    </w:p>
    <w:p w:rsidR="00D75242" w:rsidRDefault="00D75242" w:rsidP="00FA169B">
      <w:pPr>
        <w:pStyle w:val="Prrafodelista"/>
        <w:numPr>
          <w:ilvl w:val="0"/>
          <w:numId w:val="1"/>
        </w:numPr>
        <w:spacing w:after="0" w:line="360" w:lineRule="auto"/>
        <w:ind w:left="426" w:hanging="426"/>
        <w:jc w:val="both"/>
        <w:rPr>
          <w:rFonts w:ascii="Palatino Linotype" w:hAnsi="Palatino Linotype" w:cs="Arial"/>
          <w:color w:val="000000" w:themeColor="text1"/>
          <w:sz w:val="24"/>
          <w:szCs w:val="24"/>
        </w:rPr>
      </w:pPr>
      <w:r w:rsidRPr="00F54208">
        <w:rPr>
          <w:rFonts w:ascii="Palatino Linotype" w:hAnsi="Palatino Linotype" w:cs="Arial"/>
          <w:color w:val="000000" w:themeColor="text1"/>
          <w:sz w:val="24"/>
          <w:szCs w:val="24"/>
        </w:rPr>
        <w:t xml:space="preserve">En el caso que nos ocupa se trata de personas que, al decidir incursionar en el ejercicio de responsabilidades públicas, han decidido, por sí mismas, someterse al escrutinio de una sociedad democrática. Además y como ya se ha señalado, el </w:t>
      </w:r>
      <w:r w:rsidRPr="0046455F">
        <w:rPr>
          <w:rFonts w:ascii="Palatino Linotype" w:hAnsi="Palatino Linotype" w:cs="Arial"/>
          <w:b/>
          <w:color w:val="000000" w:themeColor="text1"/>
          <w:sz w:val="24"/>
          <w:szCs w:val="24"/>
        </w:rPr>
        <w:t>currículum vitae no es un documento generado por una persona</w:t>
      </w:r>
      <w:r w:rsidRPr="00F54208">
        <w:rPr>
          <w:rFonts w:ascii="Palatino Linotype" w:hAnsi="Palatino Linotype" w:cs="Arial"/>
          <w:color w:val="000000" w:themeColor="text1"/>
          <w:sz w:val="24"/>
          <w:szCs w:val="24"/>
        </w:rPr>
        <w:t>, entidad o institución distinta, sino que, al contrario, su elaboración es de estricta responsabilidad de la persona que lo presenta, ya que no existen reglas o disposiciones que exijan o determinen que dicho documento cuente, con fotografía, por lo que de ser el caso que dichos documentos cuenten con estos elementos, ello depende exclusivamente de la libre voluntad de la persona. Cuestión distinta en el caso de todos aquellos documentos oficiales cuya elaboración exige y obliga a las personas a registrar datos personales. Por lo tanto, es de apreciarse que bajo los criterios de intensidad y del motivo provocado por la persona en cuestión, señalado por el Tribunal Constitucional Alemán, es que el criterio que sost</w:t>
      </w:r>
      <w:r>
        <w:rPr>
          <w:rFonts w:ascii="Palatino Linotype" w:hAnsi="Palatino Linotype" w:cs="Arial"/>
          <w:color w:val="000000" w:themeColor="text1"/>
          <w:sz w:val="24"/>
          <w:szCs w:val="24"/>
        </w:rPr>
        <w:t>engo es plenamente justificado.</w:t>
      </w:r>
    </w:p>
    <w:p w:rsidR="00D75242" w:rsidRDefault="00D75242" w:rsidP="00D75242">
      <w:pPr>
        <w:pStyle w:val="Prrafodelista"/>
        <w:spacing w:after="0" w:line="360" w:lineRule="auto"/>
        <w:ind w:left="0"/>
        <w:jc w:val="both"/>
        <w:rPr>
          <w:rFonts w:ascii="Palatino Linotype" w:hAnsi="Palatino Linotype" w:cs="Arial"/>
          <w:color w:val="000000" w:themeColor="text1"/>
          <w:sz w:val="24"/>
          <w:szCs w:val="24"/>
        </w:rPr>
      </w:pPr>
    </w:p>
    <w:p w:rsidR="00D75242" w:rsidRPr="00F54208" w:rsidRDefault="00D75242" w:rsidP="00FA169B">
      <w:pPr>
        <w:pStyle w:val="Prrafodelista"/>
        <w:numPr>
          <w:ilvl w:val="0"/>
          <w:numId w:val="1"/>
        </w:numPr>
        <w:spacing w:after="0" w:line="360" w:lineRule="auto"/>
        <w:ind w:left="426" w:hanging="426"/>
        <w:jc w:val="both"/>
        <w:rPr>
          <w:rFonts w:ascii="Palatino Linotype" w:hAnsi="Palatino Linotype" w:cs="Arial"/>
          <w:color w:val="000000" w:themeColor="text1"/>
          <w:sz w:val="24"/>
          <w:szCs w:val="24"/>
        </w:rPr>
      </w:pPr>
      <w:r w:rsidRPr="00F54208">
        <w:rPr>
          <w:rFonts w:ascii="Palatino Linotype" w:hAnsi="Palatino Linotype" w:cs="Arial"/>
          <w:color w:val="000000" w:themeColor="text1"/>
          <w:sz w:val="24"/>
          <w:szCs w:val="24"/>
        </w:rPr>
        <w:t>Por su parte el Tribunal Europeo de Derechos Humanos, al analizar temas relacionados con el uso de fotografías ha centrado su análisis en determinar el ámbito en el que éstas se localizan, según se aprecia en la sentencia del Asunto Von Hannover c. Alemania, de 24 de junio de 2004, señalando lo siguiente:</w:t>
      </w:r>
    </w:p>
    <w:p w:rsidR="00D75242" w:rsidRPr="005C02A6" w:rsidRDefault="00D75242" w:rsidP="00D75242">
      <w:pPr>
        <w:spacing w:after="0" w:line="360" w:lineRule="auto"/>
        <w:ind w:left="567" w:right="616"/>
        <w:jc w:val="both"/>
        <w:rPr>
          <w:rFonts w:ascii="Palatino Linotype" w:hAnsi="Palatino Linotype" w:cs="Arial"/>
          <w:color w:val="000000" w:themeColor="text1"/>
        </w:rPr>
      </w:pPr>
    </w:p>
    <w:p w:rsidR="00D75242" w:rsidRPr="005C02A6" w:rsidRDefault="00D75242" w:rsidP="00D75242">
      <w:pPr>
        <w:tabs>
          <w:tab w:val="left" w:pos="709"/>
        </w:tabs>
        <w:spacing w:line="360" w:lineRule="auto"/>
        <w:ind w:left="709" w:right="616" w:hanging="142"/>
        <w:jc w:val="both"/>
        <w:rPr>
          <w:rFonts w:ascii="Palatino Linotype" w:hAnsi="Palatino Linotype" w:cs="Arial"/>
          <w:i/>
          <w:color w:val="000000" w:themeColor="text1"/>
        </w:rPr>
      </w:pPr>
      <w:r w:rsidRPr="005C02A6">
        <w:rPr>
          <w:rFonts w:ascii="Palatino Linotype" w:hAnsi="Palatino Linotype" w:cs="Arial"/>
          <w:i/>
          <w:color w:val="000000" w:themeColor="text1"/>
        </w:rPr>
        <w:lastRenderedPageBreak/>
        <w:t>“52. En el caso de fotografías, la Comisión, para determinar el alcance de la protección que otorga el artículo 8 contra la injerencia arbitraria de las autoridades públicas, examinó si eran referentes a un ámbito privado o a incidentes públicos, y si los elementos así obtenidos estaban destinados a un uso limitado o podían ser accesibles al público en general (ver, mutatis mutandis, Sentencia Friedl contra Austria de 31 de enero de 1995, serie A núm. 305-B, acuerdo amistoso, Dictamen de la Comisión, pg. 21, aps. 49-52, PG y JH anteriormente citada, ap. 58 y Peck, previamente citada, ap. 61)”.</w:t>
      </w:r>
      <w:r w:rsidRPr="005C02A6">
        <w:rPr>
          <w:rFonts w:ascii="Palatino Linotype" w:hAnsi="Palatino Linotype" w:cs="Arial"/>
          <w:i/>
          <w:color w:val="000000" w:themeColor="text1"/>
          <w:vertAlign w:val="superscript"/>
        </w:rPr>
        <w:footnoteReference w:id="7"/>
      </w:r>
      <w:r w:rsidRPr="005C02A6">
        <w:rPr>
          <w:rFonts w:ascii="Palatino Linotype" w:hAnsi="Palatino Linotype" w:cs="Arial"/>
          <w:i/>
          <w:color w:val="000000" w:themeColor="text1"/>
        </w:rPr>
        <w:t xml:space="preserve">  </w:t>
      </w:r>
    </w:p>
    <w:p w:rsidR="00D75242" w:rsidRPr="005C02A6" w:rsidRDefault="00D75242" w:rsidP="00D75242">
      <w:pPr>
        <w:spacing w:after="0" w:line="360" w:lineRule="auto"/>
        <w:ind w:left="567"/>
        <w:jc w:val="both"/>
        <w:rPr>
          <w:rFonts w:ascii="Palatino Linotype" w:hAnsi="Palatino Linotype" w:cs="Arial"/>
          <w:color w:val="000000" w:themeColor="text1"/>
        </w:rPr>
      </w:pPr>
    </w:p>
    <w:p w:rsidR="00D75242" w:rsidRDefault="00D75242" w:rsidP="00FA169B">
      <w:pPr>
        <w:pStyle w:val="Prrafodelista"/>
        <w:numPr>
          <w:ilvl w:val="0"/>
          <w:numId w:val="1"/>
        </w:numPr>
        <w:spacing w:line="360" w:lineRule="auto"/>
        <w:ind w:left="426" w:hanging="426"/>
        <w:jc w:val="both"/>
        <w:rPr>
          <w:rFonts w:ascii="Palatino Linotype" w:hAnsi="Palatino Linotype" w:cs="Arial"/>
          <w:color w:val="000000" w:themeColor="text1"/>
          <w:sz w:val="24"/>
          <w:szCs w:val="24"/>
        </w:rPr>
      </w:pPr>
      <w:r w:rsidRPr="00F54208">
        <w:rPr>
          <w:rFonts w:ascii="Palatino Linotype" w:hAnsi="Palatino Linotype" w:cs="Arial"/>
          <w:color w:val="000000" w:themeColor="text1"/>
          <w:sz w:val="24"/>
          <w:szCs w:val="24"/>
        </w:rPr>
        <w:t xml:space="preserve">En el presente recurso, puede señalarse que la elaboración del currículum vitae es sólo responsabilidad de la persona que lo presenta y que sólo a esta persona ha correspondido la decisión libre y autónoma de decidir si incluye o no una fotografía y, por último y más importante, que dicho documento se ha elaborado de manera ex profeso para explicar a la sociedad el perfil de la persona que ocupa el cargo público en cuestión, por lo tanto, dicho documento se circunscribe directamente a la esfera de las actividades públicas que realiza la persona y no en el terreno de su intimidad. </w:t>
      </w:r>
    </w:p>
    <w:p w:rsidR="0046455F" w:rsidRDefault="0046455F" w:rsidP="00D75242">
      <w:pPr>
        <w:pStyle w:val="Prrafodelista"/>
        <w:spacing w:line="360" w:lineRule="auto"/>
        <w:ind w:left="0"/>
        <w:jc w:val="both"/>
        <w:rPr>
          <w:rFonts w:ascii="Palatino Linotype" w:hAnsi="Palatino Linotype" w:cs="Arial"/>
          <w:color w:val="000000" w:themeColor="text1"/>
          <w:sz w:val="24"/>
          <w:szCs w:val="24"/>
        </w:rPr>
      </w:pPr>
    </w:p>
    <w:p w:rsidR="00E57020" w:rsidRPr="00FA169B" w:rsidRDefault="00E57020" w:rsidP="00FA169B">
      <w:pPr>
        <w:pStyle w:val="Prrafodelista"/>
        <w:keepNext/>
        <w:keepLines/>
        <w:numPr>
          <w:ilvl w:val="0"/>
          <w:numId w:val="10"/>
        </w:numPr>
        <w:spacing w:before="40" w:after="0"/>
        <w:ind w:left="709"/>
        <w:outlineLvl w:val="1"/>
        <w:rPr>
          <w:rFonts w:ascii="Palatino Linotype" w:eastAsiaTheme="majorEastAsia" w:hAnsi="Palatino Linotype" w:cstheme="majorBidi"/>
          <w:b/>
          <w:color w:val="000000" w:themeColor="text1"/>
          <w:sz w:val="26"/>
          <w:szCs w:val="26"/>
        </w:rPr>
      </w:pPr>
      <w:bookmarkStart w:id="11" w:name="_Toc532831828"/>
      <w:r w:rsidRPr="00FA169B">
        <w:rPr>
          <w:rFonts w:ascii="Palatino Linotype" w:eastAsiaTheme="majorEastAsia" w:hAnsi="Palatino Linotype" w:cstheme="majorBidi"/>
          <w:b/>
          <w:color w:val="000000" w:themeColor="text1"/>
          <w:sz w:val="26"/>
          <w:szCs w:val="26"/>
        </w:rPr>
        <w:t>Del Pronunciamiento Simple</w:t>
      </w:r>
      <w:bookmarkEnd w:id="11"/>
    </w:p>
    <w:p w:rsidR="00E57020" w:rsidRPr="00E57020" w:rsidRDefault="00E57020" w:rsidP="00E57020">
      <w:pPr>
        <w:spacing w:after="0" w:line="360" w:lineRule="auto"/>
        <w:jc w:val="both"/>
        <w:rPr>
          <w:rFonts w:ascii="Palatino Linotype" w:hAnsi="Palatino Linotype" w:cs="Arial"/>
          <w:sz w:val="24"/>
          <w:szCs w:val="24"/>
        </w:rPr>
      </w:pPr>
    </w:p>
    <w:p w:rsidR="00E57020" w:rsidRPr="0046455F" w:rsidRDefault="00E57020" w:rsidP="00FA169B">
      <w:pPr>
        <w:pStyle w:val="Prrafodelista"/>
        <w:numPr>
          <w:ilvl w:val="0"/>
          <w:numId w:val="1"/>
        </w:numPr>
        <w:spacing w:before="240" w:after="0" w:line="360" w:lineRule="auto"/>
        <w:ind w:right="49"/>
        <w:jc w:val="both"/>
        <w:rPr>
          <w:rFonts w:ascii="Palatino Linotype" w:eastAsia="Calibri" w:hAnsi="Palatino Linotype" w:cs="Arial"/>
          <w:sz w:val="24"/>
          <w:szCs w:val="24"/>
        </w:rPr>
      </w:pPr>
      <w:r w:rsidRPr="0046455F">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w:t>
      </w:r>
      <w:r w:rsidRPr="0046455F">
        <w:rPr>
          <w:rFonts w:ascii="Palatino Linotype" w:hAnsi="Palatino Linotype" w:cs="Arial"/>
          <w:sz w:val="24"/>
          <w:szCs w:val="24"/>
        </w:rPr>
        <w:t>hoy</w:t>
      </w:r>
      <w:r w:rsidRPr="0046455F">
        <w:rPr>
          <w:rFonts w:ascii="Palatino Linotype" w:eastAsia="Calibri" w:hAnsi="Palatino Linotype" w:cs="Arial"/>
          <w:sz w:val="24"/>
          <w:szCs w:val="24"/>
        </w:rPr>
        <w:t xml:space="preserve"> nos ocupa no será  la excepción en la que señale este </w:t>
      </w:r>
      <w:r w:rsidRPr="0046455F">
        <w:rPr>
          <w:rFonts w:ascii="Palatino Linotype" w:eastAsia="Calibri" w:hAnsi="Palatino Linotype" w:cs="Arial"/>
          <w:sz w:val="24"/>
          <w:szCs w:val="24"/>
        </w:rPr>
        <w:lastRenderedPageBreak/>
        <w:t xml:space="preserve">aspecto, para lo cual es importante hacer mención lo que el </w:t>
      </w:r>
      <w:r w:rsidRPr="0046455F">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57020" w:rsidRPr="00E57020" w:rsidRDefault="00E57020" w:rsidP="00E57020">
      <w:pPr>
        <w:spacing w:after="0" w:line="360" w:lineRule="auto"/>
        <w:ind w:right="618"/>
        <w:contextualSpacing/>
        <w:jc w:val="both"/>
        <w:rPr>
          <w:rFonts w:ascii="Palatino Linotype" w:eastAsiaTheme="minorEastAsia" w:hAnsi="Palatino Linotype" w:cs="Arial"/>
          <w:sz w:val="24"/>
          <w:szCs w:val="24"/>
          <w:lang w:val="es-ES_tradnl" w:eastAsia="es-ES"/>
        </w:rPr>
      </w:pPr>
    </w:p>
    <w:p w:rsidR="00E57020" w:rsidRPr="00E57020" w:rsidRDefault="00E57020" w:rsidP="00E57020">
      <w:pPr>
        <w:spacing w:after="0" w:line="360" w:lineRule="auto"/>
        <w:ind w:left="567" w:right="618"/>
        <w:contextualSpacing/>
        <w:jc w:val="both"/>
        <w:rPr>
          <w:rFonts w:ascii="Palatino Linotype" w:eastAsiaTheme="minorEastAsia" w:hAnsi="Palatino Linotype" w:cs="Arial"/>
          <w:i/>
          <w:lang w:val="es-ES_tradnl" w:eastAsia="es-ES"/>
        </w:rPr>
      </w:pPr>
      <w:r w:rsidRPr="00E57020">
        <w:rPr>
          <w:rFonts w:ascii="Palatino Linotype" w:eastAsiaTheme="minorEastAsia" w:hAnsi="Palatino Linotype" w:cs="Arial"/>
          <w:b/>
          <w:i/>
          <w:lang w:val="es-ES_tradnl" w:eastAsia="es-ES"/>
        </w:rPr>
        <w:t>FUNDAMENTACIÓN Y MOTIVACIÓN.</w:t>
      </w:r>
      <w:r w:rsidRPr="00E57020">
        <w:rPr>
          <w:rFonts w:ascii="Palatino Linotype" w:eastAsiaTheme="minorEastAsia" w:hAnsi="Palatino Linotype" w:cs="Arial"/>
          <w:i/>
          <w:lang w:val="es-ES_tradnl" w:eastAsia="es-ES"/>
        </w:rPr>
        <w:t xml:space="preserve"> </w:t>
      </w:r>
      <w:r w:rsidRPr="00E5702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57020">
        <w:rPr>
          <w:rFonts w:ascii="Palatino Linotype" w:eastAsiaTheme="minorEastAsia" w:hAnsi="Palatino Linotype" w:cs="Arial"/>
          <w:i/>
          <w:lang w:val="es-ES_tradnl" w:eastAsia="es-ES"/>
        </w:rPr>
        <w:t>.</w:t>
      </w:r>
    </w:p>
    <w:p w:rsidR="00E57020" w:rsidRPr="00E57020" w:rsidRDefault="00E57020" w:rsidP="00E57020">
      <w:pPr>
        <w:spacing w:after="0" w:line="360" w:lineRule="auto"/>
        <w:ind w:left="567" w:right="618"/>
        <w:contextualSpacing/>
        <w:jc w:val="both"/>
        <w:rPr>
          <w:rFonts w:ascii="Palatino Linotype" w:eastAsiaTheme="minorEastAsia" w:hAnsi="Palatino Linotype" w:cs="Arial"/>
          <w:i/>
          <w:lang w:val="es-ES_tradnl" w:eastAsia="es-ES"/>
        </w:rPr>
      </w:pPr>
      <w:r w:rsidRPr="00E57020">
        <w:rPr>
          <w:rFonts w:ascii="Palatino Linotype" w:eastAsiaTheme="minorEastAsia" w:hAnsi="Palatino Linotype" w:cs="Arial"/>
          <w:i/>
          <w:lang w:val="es-ES_tradnl" w:eastAsia="es-ES"/>
        </w:rPr>
        <w:t>SEGUNDO TRIBUNAL COLEGIADO DEL SEXTO CIRCUITO.</w:t>
      </w:r>
    </w:p>
    <w:p w:rsidR="00E57020" w:rsidRPr="00E57020" w:rsidRDefault="00E57020" w:rsidP="00E57020">
      <w:pPr>
        <w:spacing w:after="0" w:line="360" w:lineRule="auto"/>
        <w:ind w:left="567" w:right="618"/>
        <w:contextualSpacing/>
        <w:jc w:val="both"/>
        <w:rPr>
          <w:rFonts w:ascii="Palatino Linotype" w:eastAsiaTheme="minorEastAsia" w:hAnsi="Palatino Linotype" w:cs="Arial"/>
          <w:i/>
          <w:lang w:val="es-ES_tradnl" w:eastAsia="es-ES"/>
        </w:rPr>
      </w:pPr>
      <w:r w:rsidRPr="00E5702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57020" w:rsidRPr="00E57020" w:rsidRDefault="00E57020" w:rsidP="00E57020">
      <w:pPr>
        <w:spacing w:after="0" w:line="360" w:lineRule="auto"/>
        <w:ind w:left="567" w:right="618"/>
        <w:contextualSpacing/>
        <w:jc w:val="both"/>
        <w:rPr>
          <w:rFonts w:ascii="Palatino Linotype" w:eastAsiaTheme="minorEastAsia" w:hAnsi="Palatino Linotype" w:cs="Arial"/>
          <w:i/>
          <w:lang w:val="es-ES_tradnl" w:eastAsia="es-ES"/>
        </w:rPr>
      </w:pPr>
      <w:r w:rsidRPr="00E5702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57020" w:rsidRPr="00E57020" w:rsidRDefault="00E57020" w:rsidP="00E57020">
      <w:pPr>
        <w:spacing w:after="0" w:line="360" w:lineRule="auto"/>
        <w:ind w:left="567" w:right="618"/>
        <w:contextualSpacing/>
        <w:jc w:val="both"/>
        <w:rPr>
          <w:rFonts w:ascii="Palatino Linotype" w:eastAsiaTheme="minorEastAsia" w:hAnsi="Palatino Linotype" w:cs="Arial"/>
          <w:i/>
          <w:lang w:val="es-ES_tradnl" w:eastAsia="es-ES"/>
        </w:rPr>
      </w:pPr>
      <w:r w:rsidRPr="00E5702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57020" w:rsidRPr="00E57020" w:rsidRDefault="00E57020" w:rsidP="00E57020">
      <w:pPr>
        <w:spacing w:after="0" w:line="360" w:lineRule="auto"/>
        <w:ind w:left="567" w:right="618"/>
        <w:contextualSpacing/>
        <w:jc w:val="both"/>
        <w:rPr>
          <w:rFonts w:ascii="Palatino Linotype" w:eastAsiaTheme="minorEastAsia" w:hAnsi="Palatino Linotype" w:cs="Arial"/>
          <w:i/>
          <w:lang w:val="es-ES_tradnl" w:eastAsia="es-ES"/>
        </w:rPr>
      </w:pPr>
      <w:r w:rsidRPr="00E5702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57020" w:rsidRPr="00E57020" w:rsidRDefault="00E57020" w:rsidP="00E57020">
      <w:pPr>
        <w:spacing w:after="0" w:line="360" w:lineRule="auto"/>
        <w:ind w:left="567" w:right="618"/>
        <w:contextualSpacing/>
        <w:jc w:val="both"/>
        <w:rPr>
          <w:rFonts w:ascii="Palatino Linotype" w:eastAsiaTheme="minorEastAsia" w:hAnsi="Palatino Linotype" w:cs="Arial"/>
          <w:i/>
          <w:lang w:val="es-ES_tradnl" w:eastAsia="es-ES"/>
        </w:rPr>
      </w:pPr>
      <w:r w:rsidRPr="00E5702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57020" w:rsidRPr="00E57020" w:rsidRDefault="00E57020" w:rsidP="00E57020">
      <w:pPr>
        <w:spacing w:after="0" w:line="360" w:lineRule="auto"/>
        <w:contextualSpacing/>
        <w:jc w:val="both"/>
        <w:rPr>
          <w:rFonts w:ascii="Palatino Linotype" w:eastAsiaTheme="minorEastAsia" w:hAnsi="Palatino Linotype" w:cs="Arial"/>
          <w:sz w:val="24"/>
          <w:szCs w:val="24"/>
          <w:lang w:val="es-ES" w:eastAsia="es-ES"/>
        </w:rPr>
      </w:pPr>
    </w:p>
    <w:p w:rsidR="00E57020" w:rsidRPr="00E57020" w:rsidRDefault="00E57020" w:rsidP="00FA169B">
      <w:pPr>
        <w:numPr>
          <w:ilvl w:val="0"/>
          <w:numId w:val="1"/>
        </w:numPr>
        <w:spacing w:before="240" w:after="0" w:line="360" w:lineRule="auto"/>
        <w:ind w:left="426" w:right="49"/>
        <w:contextualSpacing/>
        <w:jc w:val="both"/>
        <w:rPr>
          <w:rFonts w:ascii="Palatino Linotype" w:eastAsia="Calibri" w:hAnsi="Palatino Linotype" w:cs="Arial"/>
          <w:sz w:val="24"/>
          <w:szCs w:val="24"/>
        </w:rPr>
      </w:pPr>
      <w:r w:rsidRPr="00E57020">
        <w:rPr>
          <w:rFonts w:ascii="Palatino Linotype" w:eastAsia="Calibri" w:hAnsi="Palatino Linotype" w:cs="Arial"/>
          <w:sz w:val="24"/>
          <w:szCs w:val="24"/>
        </w:rPr>
        <w:t xml:space="preserve">Así </w:t>
      </w:r>
      <w:r w:rsidRPr="00E57020">
        <w:rPr>
          <w:rFonts w:ascii="Palatino Linotype" w:eastAsia="Times New Roman" w:hAnsi="Palatino Linotype" w:cs="Arial"/>
          <w:sz w:val="24"/>
          <w:szCs w:val="24"/>
          <w:lang w:val="es-ES_tradnl" w:eastAsia="es-MX"/>
        </w:rPr>
        <w:t xml:space="preserve">en un acto de autoridad se cumple con la debida fundamentación cuando se cita el </w:t>
      </w:r>
      <w:r w:rsidRPr="00E57020">
        <w:rPr>
          <w:rFonts w:ascii="Palatino Linotype" w:hAnsi="Palatino Linotype" w:cs="Arial"/>
          <w:sz w:val="24"/>
          <w:szCs w:val="24"/>
        </w:rPr>
        <w:t>precepto</w:t>
      </w:r>
      <w:r w:rsidRPr="00E57020">
        <w:rPr>
          <w:rFonts w:ascii="Palatino Linotype" w:eastAsia="Times New Roman" w:hAnsi="Palatino Linotype" w:cs="Arial"/>
          <w:sz w:val="24"/>
          <w:szCs w:val="24"/>
          <w:lang w:val="es-ES_tradnl" w:eastAsia="es-MX"/>
        </w:rPr>
        <w:t xml:space="preserve"> legal aplicable al caso concreto y la debida motivación cuando </w:t>
      </w:r>
      <w:r w:rsidRPr="00E57020">
        <w:rPr>
          <w:rFonts w:ascii="Palatino Linotype" w:eastAsia="Times New Roman" w:hAnsi="Palatino Linotype" w:cs="Arial"/>
          <w:sz w:val="24"/>
          <w:szCs w:val="24"/>
          <w:lang w:val="es-ES_tradnl" w:eastAsia="es-MX"/>
        </w:rPr>
        <w:lastRenderedPageBreak/>
        <w:t>se expresan las razones, motivos o circunstancias que tomó en cuenta la autoridad para adecuar el hecho a los fundamentos de derecho.</w:t>
      </w:r>
    </w:p>
    <w:p w:rsidR="00E57020" w:rsidRPr="00E57020" w:rsidRDefault="00E57020" w:rsidP="00E57020">
      <w:pPr>
        <w:spacing w:before="240" w:after="0" w:line="360" w:lineRule="auto"/>
        <w:ind w:left="426" w:right="49"/>
        <w:contextualSpacing/>
        <w:jc w:val="both"/>
        <w:rPr>
          <w:rFonts w:ascii="Palatino Linotype" w:eastAsia="Calibri" w:hAnsi="Palatino Linotype" w:cs="Arial"/>
          <w:sz w:val="24"/>
          <w:szCs w:val="24"/>
        </w:rPr>
      </w:pPr>
    </w:p>
    <w:p w:rsidR="00E57020" w:rsidRPr="00FA169B" w:rsidRDefault="00E57020" w:rsidP="00FA169B">
      <w:pPr>
        <w:pStyle w:val="Prrafodelista"/>
        <w:numPr>
          <w:ilvl w:val="0"/>
          <w:numId w:val="1"/>
        </w:numPr>
        <w:spacing w:before="240" w:after="0" w:line="360" w:lineRule="auto"/>
        <w:ind w:left="426" w:right="49" w:hanging="426"/>
        <w:jc w:val="both"/>
        <w:rPr>
          <w:rFonts w:ascii="Palatino Linotype" w:eastAsia="Calibri" w:hAnsi="Palatino Linotype" w:cs="Arial"/>
          <w:sz w:val="24"/>
          <w:szCs w:val="24"/>
        </w:rPr>
      </w:pPr>
      <w:r w:rsidRPr="00FA169B">
        <w:rPr>
          <w:rFonts w:ascii="Palatino Linotype" w:eastAsia="Calibri" w:hAnsi="Palatino Linotype" w:cs="Arial"/>
          <w:sz w:val="24"/>
          <w:szCs w:val="24"/>
        </w:rPr>
        <w:t xml:space="preserve">Lo anterior a razón de que el Sujeto Obligado se limitó simplemente a manifestar </w:t>
      </w:r>
      <w:r w:rsidRPr="00FA169B">
        <w:rPr>
          <w:rFonts w:ascii="Palatino Linotype" w:eastAsia="Calibri" w:hAnsi="Palatino Linotype" w:cs="Arial"/>
          <w:i/>
          <w:sz w:val="24"/>
          <w:szCs w:val="24"/>
        </w:rPr>
        <w:t>“</w:t>
      </w:r>
      <w:r w:rsidR="0046455F" w:rsidRPr="00FA169B">
        <w:rPr>
          <w:rFonts w:ascii="Palatino Linotype" w:eastAsia="Times New Roman" w:hAnsi="Palatino Linotype" w:cs="Arial"/>
          <w:i/>
          <w:sz w:val="24"/>
          <w:szCs w:val="24"/>
          <w:lang w:val="es-ES" w:eastAsia="es-ES"/>
        </w:rPr>
        <w:t xml:space="preserve">la información ordenada en el numeral 4, 6 y 7, bastará con el sólo pronunciamiento por parte del </w:t>
      </w:r>
      <w:r w:rsidR="0046455F" w:rsidRPr="00FA169B">
        <w:rPr>
          <w:rFonts w:ascii="Palatino Linotype" w:eastAsia="Times New Roman" w:hAnsi="Palatino Linotype" w:cs="Arial"/>
          <w:b/>
          <w:i/>
          <w:sz w:val="24"/>
          <w:szCs w:val="24"/>
          <w:lang w:val="es-ES" w:eastAsia="es-ES"/>
        </w:rPr>
        <w:t>Sujeto Obligado</w:t>
      </w:r>
      <w:r w:rsidR="0046455F" w:rsidRPr="00FA169B">
        <w:rPr>
          <w:rFonts w:ascii="Palatino Linotype" w:eastAsia="Times New Roman" w:hAnsi="Palatino Linotype" w:cs="Arial"/>
          <w:i/>
          <w:sz w:val="24"/>
          <w:szCs w:val="24"/>
          <w:lang w:val="es-ES" w:eastAsia="es-ES"/>
        </w:rPr>
        <w:t xml:space="preserve"> de no tenerla, para tener por colmado el requerimiento de información.</w:t>
      </w:r>
      <w:r w:rsidRPr="00FA169B">
        <w:rPr>
          <w:rFonts w:ascii="Palatino Linotype" w:eastAsia="Calibri" w:hAnsi="Palatino Linotype" w:cs="Arial"/>
          <w:i/>
          <w:sz w:val="24"/>
          <w:szCs w:val="24"/>
        </w:rPr>
        <w:t xml:space="preserve">” </w:t>
      </w:r>
      <w:r w:rsidRPr="00FA169B">
        <w:rPr>
          <w:rFonts w:ascii="Palatino Linotype" w:eastAsia="Calibri" w:hAnsi="Palatino Linotype" w:cs="Arial"/>
          <w:sz w:val="24"/>
          <w:szCs w:val="24"/>
        </w:rPr>
        <w:t xml:space="preserve">ante 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que en consecuencia contradice en primer lugar </w:t>
      </w:r>
      <w:r w:rsidRPr="00FA169B">
        <w:rPr>
          <w:rFonts w:ascii="Palatino Linotype" w:eastAsia="Calibri" w:hAnsi="Palatino Linotype" w:cs="Arial"/>
          <w:sz w:val="24"/>
          <w:szCs w:val="24"/>
          <w:u w:val="single"/>
        </w:rPr>
        <w:t>el principio de certeza</w:t>
      </w:r>
      <w:r w:rsidRPr="00FA169B">
        <w:rPr>
          <w:rFonts w:ascii="Palatino Linotype" w:eastAsia="Calibri" w:hAnsi="Palatino Linotype" w:cs="Arial"/>
          <w:sz w:val="24"/>
          <w:szCs w:val="24"/>
        </w:rPr>
        <w:t xml:space="preserve">, en razón de que el acto de autoridad que realizó el Secretaría de Finanzas del Estado de México en respuesta a la solicitud carece de fundamentación y motivación, lo que en consecuencia no brinda seguridad y certidumbre jurídica al particular, imposibilitando conocer si la postura adoptada por el Sujeto Obligado es apegada a derecho; y en segundo lugar </w:t>
      </w:r>
      <w:r w:rsidRPr="00FA169B">
        <w:rPr>
          <w:rFonts w:ascii="Palatino Linotype" w:eastAsia="Calibri" w:hAnsi="Palatino Linotype" w:cs="Arial"/>
          <w:sz w:val="24"/>
          <w:szCs w:val="24"/>
          <w:u w:val="single"/>
        </w:rPr>
        <w:t>el artículo 19 segundo párrafo</w:t>
      </w:r>
      <w:r w:rsidRPr="00FA169B">
        <w:rPr>
          <w:rFonts w:ascii="Palatino Linotype" w:eastAsia="Calibri" w:hAnsi="Palatino Linotype" w:cs="Arial"/>
          <w:sz w:val="24"/>
          <w:szCs w:val="24"/>
        </w:rPr>
        <w:t xml:space="preserve"> que señala </w:t>
      </w:r>
      <w:r w:rsidRPr="00FA169B">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FA169B">
        <w:rPr>
          <w:rFonts w:ascii="Palatino Linotype" w:eastAsia="Calibri" w:hAnsi="Palatino Linotype" w:cs="Arial"/>
          <w:sz w:val="24"/>
          <w:szCs w:val="24"/>
        </w:rPr>
        <w:t xml:space="preserve"> </w:t>
      </w:r>
    </w:p>
    <w:p w:rsidR="00E57020" w:rsidRPr="00E57020" w:rsidRDefault="00E57020" w:rsidP="00E57020">
      <w:pPr>
        <w:spacing w:before="240" w:after="0" w:line="360" w:lineRule="auto"/>
        <w:ind w:left="426" w:right="49"/>
        <w:contextualSpacing/>
        <w:jc w:val="both"/>
        <w:rPr>
          <w:rFonts w:ascii="Palatino Linotype" w:eastAsia="Calibri" w:hAnsi="Palatino Linotype" w:cs="Arial"/>
          <w:sz w:val="24"/>
          <w:szCs w:val="24"/>
        </w:rPr>
      </w:pPr>
    </w:p>
    <w:p w:rsidR="00E57020" w:rsidRPr="00E57020" w:rsidRDefault="00E57020" w:rsidP="00FA169B">
      <w:pPr>
        <w:numPr>
          <w:ilvl w:val="0"/>
          <w:numId w:val="1"/>
        </w:numPr>
        <w:spacing w:before="240" w:after="0" w:line="360" w:lineRule="auto"/>
        <w:ind w:left="426" w:right="49"/>
        <w:contextualSpacing/>
        <w:jc w:val="both"/>
        <w:rPr>
          <w:rFonts w:ascii="Palatino Linotype" w:eastAsia="Calibri" w:hAnsi="Palatino Linotype" w:cs="Arial"/>
          <w:sz w:val="24"/>
          <w:szCs w:val="24"/>
        </w:rPr>
      </w:pPr>
      <w:r w:rsidRPr="00E57020">
        <w:rPr>
          <w:rFonts w:ascii="Palatino Linotype" w:eastAsia="Calibri" w:hAnsi="Palatino Linotype" w:cs="Arial"/>
          <w:sz w:val="24"/>
          <w:szCs w:val="24"/>
        </w:rPr>
        <w:t>Por lo que si el Sujeto Obligado no genera, administra o posee la información que solicitó el particular, el mismo deberá fundar y motivar debidamente las razones o circunstancias por las que no genera, posee o administra la información precisando de manera clara, las razones que expliquen las causas por las que no se cuenta con la información requerida en el presente asunto.</w:t>
      </w:r>
    </w:p>
    <w:p w:rsidR="00E57020" w:rsidRPr="00E57020" w:rsidRDefault="00E57020" w:rsidP="00E57020">
      <w:pPr>
        <w:ind w:left="720"/>
        <w:contextualSpacing/>
        <w:rPr>
          <w:rFonts w:ascii="Palatino Linotype" w:eastAsia="Calibri" w:hAnsi="Palatino Linotype" w:cs="Arial"/>
          <w:sz w:val="24"/>
          <w:szCs w:val="24"/>
          <w:lang w:val="es-ES_tradnl"/>
        </w:rPr>
      </w:pPr>
    </w:p>
    <w:p w:rsidR="00E57020" w:rsidRPr="00E57020" w:rsidRDefault="00E57020" w:rsidP="00FA169B">
      <w:pPr>
        <w:numPr>
          <w:ilvl w:val="0"/>
          <w:numId w:val="1"/>
        </w:numPr>
        <w:spacing w:before="240" w:after="0" w:line="360" w:lineRule="auto"/>
        <w:ind w:left="426" w:right="49"/>
        <w:contextualSpacing/>
        <w:jc w:val="both"/>
        <w:rPr>
          <w:rFonts w:ascii="Palatino Linotype" w:eastAsia="Calibri" w:hAnsi="Palatino Linotype" w:cs="Arial"/>
          <w:sz w:val="24"/>
          <w:szCs w:val="24"/>
        </w:rPr>
      </w:pPr>
      <w:r w:rsidRPr="00E57020">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E57020" w:rsidRPr="00E57020" w:rsidRDefault="00E57020" w:rsidP="00E57020">
      <w:pPr>
        <w:spacing w:after="0" w:line="360" w:lineRule="auto"/>
        <w:contextualSpacing/>
        <w:jc w:val="both"/>
        <w:rPr>
          <w:rFonts w:ascii="Palatino Linotype" w:eastAsia="Calibri" w:hAnsi="Palatino Linotype" w:cs="Arial"/>
          <w:sz w:val="24"/>
          <w:szCs w:val="24"/>
          <w:lang w:val="es-ES"/>
        </w:rPr>
      </w:pPr>
    </w:p>
    <w:p w:rsidR="00E57020" w:rsidRPr="00E57020" w:rsidRDefault="00E57020" w:rsidP="00E57020">
      <w:pPr>
        <w:spacing w:after="0" w:line="360" w:lineRule="auto"/>
        <w:ind w:left="567" w:right="616"/>
        <w:contextualSpacing/>
        <w:jc w:val="both"/>
        <w:rPr>
          <w:rFonts w:ascii="Palatino Linotype" w:eastAsia="Calibri" w:hAnsi="Palatino Linotype" w:cs="Arial"/>
          <w:i/>
          <w:lang w:val="es-ES_tradnl"/>
        </w:rPr>
      </w:pPr>
      <w:r w:rsidRPr="00E57020">
        <w:rPr>
          <w:rFonts w:ascii="Palatino Linotype" w:eastAsia="Calibri" w:hAnsi="Palatino Linotype" w:cs="Arial"/>
          <w:b/>
          <w:i/>
          <w:lang w:val="es-ES_tradnl"/>
        </w:rPr>
        <w:t>Artículo 16.</w:t>
      </w:r>
      <w:r w:rsidRPr="00E57020">
        <w:rPr>
          <w:rFonts w:ascii="Palatino Linotype" w:eastAsia="Calibri" w:hAnsi="Palatino Linotype" w:cs="Arial"/>
          <w:i/>
          <w:lang w:val="es-ES_tradnl"/>
        </w:rPr>
        <w:t xml:space="preserve"> Nadie puede ser molestado en su persona, familia, domicilio, papeles o posesiones, </w:t>
      </w:r>
      <w:r w:rsidRPr="00E57020">
        <w:rPr>
          <w:rFonts w:ascii="Palatino Linotype" w:eastAsia="Calibri" w:hAnsi="Palatino Linotype" w:cs="Arial"/>
          <w:b/>
          <w:i/>
          <w:lang w:val="es-ES_tradnl"/>
        </w:rPr>
        <w:t>sino en virtud de mandamiento escrito de la autoridad competente, que funde y motive la causa legal del procedimiento</w:t>
      </w:r>
      <w:r w:rsidRPr="00E57020">
        <w:rPr>
          <w:rFonts w:ascii="Palatino Linotype" w:eastAsia="Calibri" w:hAnsi="Palatino Linotype" w:cs="Arial"/>
          <w:i/>
          <w:lang w:val="es-ES_tradnl"/>
        </w:rPr>
        <w:t>.</w:t>
      </w:r>
    </w:p>
    <w:p w:rsidR="00E57020" w:rsidRPr="00E57020" w:rsidRDefault="00E57020" w:rsidP="00E57020">
      <w:pPr>
        <w:spacing w:after="0" w:line="360" w:lineRule="auto"/>
        <w:contextualSpacing/>
        <w:jc w:val="both"/>
        <w:rPr>
          <w:rFonts w:ascii="Palatino Linotype" w:eastAsia="Calibri" w:hAnsi="Palatino Linotype" w:cs="Arial"/>
          <w:sz w:val="24"/>
          <w:szCs w:val="24"/>
          <w:lang w:val="es-ES_tradnl"/>
        </w:rPr>
      </w:pPr>
    </w:p>
    <w:p w:rsidR="00E57020" w:rsidRPr="00E57020" w:rsidRDefault="00E57020" w:rsidP="00FA169B">
      <w:pPr>
        <w:numPr>
          <w:ilvl w:val="0"/>
          <w:numId w:val="1"/>
        </w:numPr>
        <w:spacing w:after="0" w:line="360" w:lineRule="auto"/>
        <w:ind w:left="426" w:hanging="426"/>
        <w:contextualSpacing/>
        <w:jc w:val="both"/>
        <w:rPr>
          <w:rFonts w:ascii="Palatino Linotype" w:eastAsia="Calibri" w:hAnsi="Palatino Linotype" w:cs="Arial"/>
          <w:sz w:val="24"/>
          <w:szCs w:val="24"/>
          <w:lang w:val="es-ES_tradnl"/>
        </w:rPr>
      </w:pPr>
      <w:r w:rsidRPr="00E57020">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E57020" w:rsidRPr="00E57020" w:rsidRDefault="00E57020" w:rsidP="00E57020">
      <w:pPr>
        <w:spacing w:after="0" w:line="360" w:lineRule="auto"/>
        <w:ind w:left="426"/>
        <w:contextualSpacing/>
        <w:jc w:val="both"/>
        <w:rPr>
          <w:rFonts w:ascii="Palatino Linotype" w:eastAsia="Calibri" w:hAnsi="Palatino Linotype" w:cs="Arial"/>
          <w:sz w:val="24"/>
          <w:szCs w:val="24"/>
          <w:lang w:val="es-ES_tradnl"/>
        </w:rPr>
      </w:pPr>
    </w:p>
    <w:p w:rsidR="00E57020" w:rsidRPr="00E57020" w:rsidRDefault="00E57020" w:rsidP="00FA169B">
      <w:pPr>
        <w:numPr>
          <w:ilvl w:val="0"/>
          <w:numId w:val="1"/>
        </w:numPr>
        <w:spacing w:after="0" w:line="360" w:lineRule="auto"/>
        <w:ind w:left="426" w:hanging="426"/>
        <w:contextualSpacing/>
        <w:jc w:val="both"/>
        <w:rPr>
          <w:rFonts w:ascii="Palatino Linotype" w:eastAsia="Calibri" w:hAnsi="Palatino Linotype" w:cs="Arial"/>
          <w:sz w:val="24"/>
          <w:szCs w:val="24"/>
          <w:lang w:val="es-ES_tradnl"/>
        </w:rPr>
      </w:pPr>
      <w:r w:rsidRPr="00E57020">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E57020" w:rsidRPr="00E57020" w:rsidRDefault="00E57020" w:rsidP="00E57020">
      <w:pPr>
        <w:ind w:left="720"/>
        <w:contextualSpacing/>
        <w:rPr>
          <w:rFonts w:ascii="Palatino Linotype" w:eastAsia="Calibri" w:hAnsi="Palatino Linotype" w:cs="Arial"/>
          <w:sz w:val="24"/>
          <w:szCs w:val="24"/>
          <w:lang w:val="es-ES_tradnl"/>
        </w:rPr>
      </w:pPr>
    </w:p>
    <w:p w:rsidR="00E57020" w:rsidRPr="00E57020" w:rsidRDefault="00E57020" w:rsidP="00FA169B">
      <w:pPr>
        <w:numPr>
          <w:ilvl w:val="0"/>
          <w:numId w:val="1"/>
        </w:numPr>
        <w:spacing w:after="0" w:line="360" w:lineRule="auto"/>
        <w:ind w:left="426" w:hanging="426"/>
        <w:contextualSpacing/>
        <w:jc w:val="both"/>
        <w:rPr>
          <w:rFonts w:ascii="Palatino Linotype" w:eastAsia="Calibri" w:hAnsi="Palatino Linotype" w:cs="Arial"/>
          <w:sz w:val="24"/>
          <w:szCs w:val="24"/>
          <w:lang w:val="es-ES_tradnl"/>
        </w:rPr>
      </w:pPr>
      <w:r w:rsidRPr="00E57020">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E57020" w:rsidRPr="00E57020" w:rsidRDefault="00E57020" w:rsidP="00E57020">
      <w:pPr>
        <w:ind w:left="720"/>
        <w:contextualSpacing/>
        <w:rPr>
          <w:rFonts w:ascii="Palatino Linotype" w:eastAsia="Calibri" w:hAnsi="Palatino Linotype" w:cs="Arial"/>
          <w:sz w:val="24"/>
          <w:szCs w:val="24"/>
          <w:lang w:val="es-ES_tradnl"/>
        </w:rPr>
      </w:pPr>
    </w:p>
    <w:p w:rsidR="00E57020" w:rsidRPr="00E57020" w:rsidRDefault="00E57020" w:rsidP="00FA169B">
      <w:pPr>
        <w:numPr>
          <w:ilvl w:val="0"/>
          <w:numId w:val="1"/>
        </w:numPr>
        <w:spacing w:after="0" w:line="360" w:lineRule="auto"/>
        <w:ind w:left="426" w:hanging="426"/>
        <w:contextualSpacing/>
        <w:jc w:val="both"/>
        <w:rPr>
          <w:rFonts w:ascii="Palatino Linotype" w:eastAsia="Calibri" w:hAnsi="Palatino Linotype" w:cs="Arial"/>
          <w:sz w:val="24"/>
          <w:szCs w:val="24"/>
          <w:lang w:val="es-ES_tradnl"/>
        </w:rPr>
      </w:pPr>
      <w:r w:rsidRPr="00E57020">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w:t>
      </w:r>
      <w:r w:rsidRPr="00E57020">
        <w:rPr>
          <w:rFonts w:ascii="Palatino Linotype" w:eastAsia="Calibri" w:hAnsi="Palatino Linotype" w:cs="Arial"/>
          <w:sz w:val="24"/>
          <w:szCs w:val="24"/>
          <w:lang w:val="es-ES_tradnl"/>
        </w:rPr>
        <w:lastRenderedPageBreak/>
        <w:t>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E57020" w:rsidRPr="00E57020" w:rsidRDefault="00E57020" w:rsidP="00E57020">
      <w:pPr>
        <w:ind w:left="720"/>
        <w:contextualSpacing/>
        <w:rPr>
          <w:rFonts w:ascii="Palatino Linotype" w:eastAsia="Calibri" w:hAnsi="Palatino Linotype" w:cs="Arial"/>
          <w:sz w:val="24"/>
          <w:szCs w:val="24"/>
          <w:lang w:val="es-ES_tradnl"/>
        </w:rPr>
      </w:pPr>
    </w:p>
    <w:p w:rsidR="00E57020" w:rsidRPr="00E57020" w:rsidRDefault="00E57020" w:rsidP="00FA169B">
      <w:pPr>
        <w:numPr>
          <w:ilvl w:val="0"/>
          <w:numId w:val="1"/>
        </w:numPr>
        <w:spacing w:after="0" w:line="360" w:lineRule="auto"/>
        <w:ind w:left="426" w:hanging="426"/>
        <w:contextualSpacing/>
        <w:jc w:val="both"/>
        <w:rPr>
          <w:rFonts w:ascii="Palatino Linotype" w:eastAsia="Calibri" w:hAnsi="Palatino Linotype" w:cs="Arial"/>
          <w:sz w:val="24"/>
          <w:szCs w:val="24"/>
          <w:lang w:val="es-ES_tradnl"/>
        </w:rPr>
      </w:pPr>
      <w:r w:rsidRPr="00E57020">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57020" w:rsidRPr="00E57020" w:rsidRDefault="00E57020" w:rsidP="00E57020">
      <w:pPr>
        <w:ind w:left="720"/>
        <w:contextualSpacing/>
        <w:rPr>
          <w:rFonts w:ascii="Palatino Linotype" w:eastAsia="Calibri" w:hAnsi="Palatino Linotype" w:cs="Arial"/>
          <w:sz w:val="24"/>
          <w:szCs w:val="24"/>
          <w:lang w:val="es-ES_tradnl"/>
        </w:rPr>
      </w:pPr>
    </w:p>
    <w:p w:rsidR="00E57020" w:rsidRPr="00E57020" w:rsidRDefault="00E57020" w:rsidP="00FA169B">
      <w:pPr>
        <w:numPr>
          <w:ilvl w:val="0"/>
          <w:numId w:val="1"/>
        </w:numPr>
        <w:spacing w:after="0" w:line="360" w:lineRule="auto"/>
        <w:ind w:left="426" w:hanging="426"/>
        <w:contextualSpacing/>
        <w:jc w:val="both"/>
        <w:rPr>
          <w:rFonts w:ascii="Palatino Linotype" w:eastAsia="Calibri" w:hAnsi="Palatino Linotype" w:cs="Arial"/>
          <w:sz w:val="24"/>
          <w:szCs w:val="24"/>
          <w:lang w:val="es-ES_tradnl"/>
        </w:rPr>
      </w:pPr>
      <w:r w:rsidRPr="00E57020">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57020" w:rsidRPr="00E57020" w:rsidRDefault="00E57020" w:rsidP="00E57020">
      <w:pPr>
        <w:ind w:left="720"/>
        <w:contextualSpacing/>
        <w:rPr>
          <w:rFonts w:ascii="Palatino Linotype" w:eastAsia="Calibri" w:hAnsi="Palatino Linotype" w:cs="Arial"/>
          <w:sz w:val="24"/>
          <w:szCs w:val="24"/>
        </w:rPr>
      </w:pPr>
    </w:p>
    <w:p w:rsidR="00E57020" w:rsidRPr="00E57020" w:rsidRDefault="00E57020" w:rsidP="00FA169B">
      <w:pPr>
        <w:numPr>
          <w:ilvl w:val="0"/>
          <w:numId w:val="1"/>
        </w:numPr>
        <w:spacing w:after="0" w:line="360" w:lineRule="auto"/>
        <w:ind w:left="426" w:hanging="426"/>
        <w:contextualSpacing/>
        <w:jc w:val="both"/>
        <w:rPr>
          <w:rFonts w:ascii="Palatino Linotype" w:eastAsia="Calibri" w:hAnsi="Palatino Linotype" w:cs="Arial"/>
          <w:sz w:val="24"/>
          <w:szCs w:val="24"/>
          <w:lang w:val="es-ES_tradnl"/>
        </w:rPr>
      </w:pPr>
      <w:r w:rsidRPr="00E57020">
        <w:rPr>
          <w:rFonts w:ascii="Palatino Linotype" w:eastAsia="Calibri" w:hAnsi="Palatino Linotype" w:cs="Arial"/>
          <w:sz w:val="24"/>
          <w:szCs w:val="24"/>
        </w:rPr>
        <w:t xml:space="preserve">Es de mencionar que en caso de que el Sujeto Obligado, no contara con la información solicitada por no encontrarse dentro de sus </w:t>
      </w:r>
      <w:r w:rsidRPr="00E57020">
        <w:rPr>
          <w:rFonts w:ascii="Palatino Linotype" w:hAnsi="Palatino Linotype"/>
          <w:sz w:val="24"/>
          <w:szCs w:val="24"/>
        </w:rPr>
        <w:t>facultades, competencias o funcione</w:t>
      </w:r>
      <w:r w:rsidRPr="00E57020">
        <w:rPr>
          <w:rFonts w:ascii="Palatino Linotype" w:eastAsia="Calibri" w:hAnsi="Palatino Linotype" w:cs="Arial"/>
          <w:sz w:val="24"/>
          <w:szCs w:val="24"/>
        </w:rPr>
        <w:t>s, deberá demostrarlo de manera fundada y motivada, de acuerdo al artículo 20 de la Ley de la materia, el cual establece que:</w:t>
      </w:r>
    </w:p>
    <w:p w:rsidR="00E57020" w:rsidRPr="00E57020" w:rsidRDefault="00E57020" w:rsidP="00E57020">
      <w:pPr>
        <w:spacing w:after="0" w:line="360" w:lineRule="auto"/>
        <w:ind w:left="360"/>
        <w:contextualSpacing/>
        <w:jc w:val="both"/>
        <w:rPr>
          <w:rFonts w:ascii="Palatino Linotype" w:eastAsia="Calibri" w:hAnsi="Palatino Linotype" w:cs="Arial"/>
          <w:sz w:val="24"/>
          <w:szCs w:val="24"/>
          <w:lang w:val="es-ES_tradnl"/>
        </w:rPr>
      </w:pPr>
    </w:p>
    <w:p w:rsidR="00E57020" w:rsidRPr="00E57020" w:rsidRDefault="00E57020" w:rsidP="00E57020">
      <w:pPr>
        <w:spacing w:after="0" w:line="360" w:lineRule="auto"/>
        <w:ind w:left="567" w:right="616"/>
        <w:contextualSpacing/>
        <w:jc w:val="both"/>
        <w:rPr>
          <w:rFonts w:ascii="Palatino Linotype" w:eastAsia="Calibri" w:hAnsi="Palatino Linotype" w:cs="Arial"/>
          <w:i/>
          <w:sz w:val="24"/>
          <w:szCs w:val="24"/>
        </w:rPr>
      </w:pPr>
      <w:r w:rsidRPr="00E57020">
        <w:rPr>
          <w:rFonts w:ascii="Palatino Linotype" w:hAnsi="Palatino Linotype"/>
          <w:b/>
          <w:bCs/>
          <w:i/>
          <w:sz w:val="24"/>
          <w:szCs w:val="24"/>
        </w:rPr>
        <w:t xml:space="preserve">Artículo 20. </w:t>
      </w:r>
      <w:r w:rsidRPr="00E57020">
        <w:rPr>
          <w:rFonts w:ascii="Palatino Linotype" w:hAnsi="Palatino Linotype"/>
          <w:i/>
          <w:sz w:val="24"/>
          <w:szCs w:val="24"/>
        </w:rPr>
        <w:t xml:space="preserve">Ante la negativa del acceso a la información </w:t>
      </w:r>
      <w:r w:rsidRPr="00E57020">
        <w:rPr>
          <w:rFonts w:ascii="Palatino Linotype" w:hAnsi="Palatino Linotype"/>
          <w:b/>
          <w:i/>
          <w:sz w:val="24"/>
          <w:szCs w:val="24"/>
        </w:rPr>
        <w:t>o su inexistencia</w:t>
      </w:r>
      <w:r w:rsidRPr="00E57020">
        <w:rPr>
          <w:rFonts w:ascii="Palatino Linotype" w:hAnsi="Palatino Linotype"/>
          <w:i/>
          <w:sz w:val="24"/>
          <w:szCs w:val="24"/>
        </w:rPr>
        <w:t xml:space="preserve">, el sujeto obligado deberá demostrar que la información solicitada está prevista en </w:t>
      </w:r>
      <w:r w:rsidRPr="00E57020">
        <w:rPr>
          <w:rFonts w:ascii="Palatino Linotype" w:hAnsi="Palatino Linotype"/>
          <w:i/>
          <w:sz w:val="24"/>
          <w:szCs w:val="24"/>
        </w:rPr>
        <w:lastRenderedPageBreak/>
        <w:t xml:space="preserve">alguna de las excepciones contenidas en esta Ley o, en su caso, </w:t>
      </w:r>
      <w:r w:rsidRPr="00E57020">
        <w:rPr>
          <w:rFonts w:ascii="Palatino Linotype" w:hAnsi="Palatino Linotype"/>
          <w:b/>
          <w:i/>
          <w:sz w:val="24"/>
          <w:szCs w:val="24"/>
        </w:rPr>
        <w:t>demostrar que la información no se refiere a alguna de sus facultades, competencias o funciones.</w:t>
      </w:r>
    </w:p>
    <w:p w:rsidR="00E57020" w:rsidRPr="00E57020" w:rsidRDefault="00E57020" w:rsidP="00E57020">
      <w:pPr>
        <w:spacing w:after="0" w:line="360" w:lineRule="auto"/>
        <w:contextualSpacing/>
        <w:jc w:val="both"/>
        <w:rPr>
          <w:rFonts w:ascii="Palatino Linotype" w:eastAsia="Calibri" w:hAnsi="Palatino Linotype" w:cs="Arial"/>
          <w:sz w:val="24"/>
          <w:szCs w:val="24"/>
        </w:rPr>
      </w:pPr>
    </w:p>
    <w:p w:rsidR="00E57020" w:rsidRPr="00E57020" w:rsidRDefault="00E57020" w:rsidP="00FA169B">
      <w:pPr>
        <w:numPr>
          <w:ilvl w:val="0"/>
          <w:numId w:val="1"/>
        </w:numPr>
        <w:spacing w:after="0" w:line="360" w:lineRule="auto"/>
        <w:ind w:left="426" w:hanging="426"/>
        <w:contextualSpacing/>
        <w:jc w:val="both"/>
        <w:rPr>
          <w:rFonts w:ascii="Palatino Linotype" w:eastAsia="Calibri" w:hAnsi="Palatino Linotype" w:cs="Arial"/>
          <w:sz w:val="24"/>
          <w:szCs w:val="24"/>
        </w:rPr>
      </w:pPr>
      <w:r w:rsidRPr="00E57020">
        <w:rPr>
          <w:rFonts w:ascii="Palatino Linotype" w:eastAsia="Calibri" w:hAnsi="Palatino Linotype" w:cs="Arial"/>
          <w:sz w:val="24"/>
          <w:szCs w:val="24"/>
        </w:rPr>
        <w:t xml:space="preserve">Sirve de sustento el siguiente criterio del </w:t>
      </w:r>
      <w:r w:rsidRPr="00E57020">
        <w:rPr>
          <w:rFonts w:ascii="Palatino Linotype" w:hAnsi="Palatino Linotype" w:cs="Times New Roman"/>
        </w:rPr>
        <w:t>Segundo Tribunal Colegiado del Sexto Circuito.</w:t>
      </w:r>
    </w:p>
    <w:p w:rsidR="00E57020" w:rsidRPr="00E57020" w:rsidRDefault="00E57020" w:rsidP="00E57020">
      <w:pPr>
        <w:spacing w:after="0" w:line="360" w:lineRule="auto"/>
        <w:jc w:val="both"/>
        <w:rPr>
          <w:rFonts w:ascii="Palatino Linotype" w:eastAsia="Calibri" w:hAnsi="Palatino Linotype" w:cs="Arial"/>
          <w:sz w:val="24"/>
          <w:szCs w:val="24"/>
        </w:rPr>
      </w:pPr>
    </w:p>
    <w:p w:rsidR="00E57020" w:rsidRPr="00E57020" w:rsidRDefault="00E57020" w:rsidP="00E57020">
      <w:pPr>
        <w:autoSpaceDE w:val="0"/>
        <w:autoSpaceDN w:val="0"/>
        <w:adjustRightInd w:val="0"/>
        <w:spacing w:after="0" w:line="360" w:lineRule="auto"/>
        <w:ind w:left="567" w:right="616"/>
        <w:jc w:val="both"/>
        <w:rPr>
          <w:rFonts w:ascii="Palatino Linotype" w:hAnsi="Palatino Linotype" w:cs="Times New Roman"/>
          <w:i/>
        </w:rPr>
      </w:pPr>
      <w:r w:rsidRPr="00E57020">
        <w:rPr>
          <w:rFonts w:ascii="Palatino Linotype" w:hAnsi="Palatino Linotype" w:cs="Times New Roman"/>
          <w:b/>
          <w:i/>
        </w:rPr>
        <w:t>FUNDAMENTACION Y MOTIVACION DE LOS ACTOS ADMINISTRATIVOS</w:t>
      </w:r>
      <w:r w:rsidRPr="00E57020">
        <w:rPr>
          <w:rFonts w:ascii="Palatino Linotype" w:hAnsi="Palatino Linotype" w:cs="Times New Roman"/>
          <w:i/>
        </w:rPr>
        <w:t>.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E57020" w:rsidRPr="00E57020" w:rsidRDefault="00E57020" w:rsidP="00E57020">
      <w:pPr>
        <w:autoSpaceDE w:val="0"/>
        <w:autoSpaceDN w:val="0"/>
        <w:adjustRightInd w:val="0"/>
        <w:spacing w:after="0" w:line="360" w:lineRule="auto"/>
        <w:ind w:left="1134" w:right="616"/>
        <w:jc w:val="both"/>
        <w:rPr>
          <w:rFonts w:ascii="Palatino Linotype" w:hAnsi="Palatino Linotype" w:cs="Times New Roman"/>
          <w:i/>
        </w:rPr>
      </w:pPr>
    </w:p>
    <w:p w:rsidR="00E57020" w:rsidRPr="00E57020" w:rsidRDefault="00E57020" w:rsidP="00FA169B">
      <w:pPr>
        <w:numPr>
          <w:ilvl w:val="0"/>
          <w:numId w:val="1"/>
        </w:numPr>
        <w:spacing w:after="0" w:line="360" w:lineRule="auto"/>
        <w:ind w:left="426" w:hanging="426"/>
        <w:contextualSpacing/>
        <w:jc w:val="both"/>
        <w:rPr>
          <w:rFonts w:ascii="Palatino Linotype" w:hAnsi="Palatino Linotype"/>
          <w:sz w:val="24"/>
          <w:szCs w:val="24"/>
        </w:rPr>
      </w:pPr>
      <w:r w:rsidRPr="00E57020">
        <w:rPr>
          <w:rFonts w:ascii="Palatino Linotype" w:eastAsia="Calibri" w:hAnsi="Palatino Linotype" w:cs="Arial"/>
          <w:sz w:val="24"/>
          <w:szCs w:val="24"/>
        </w:rPr>
        <w:lastRenderedPageBreak/>
        <w:t>Por lo anteriormente expuesto, se concluye que para los casos en que la información que el particular solicitó sea inexistente de acuerdo con el artículo 20 de la Ley, la autoridad debe informar al particular especificando los elementos que le permitan tener la seguridad de que los criterios de búsqueda fueron exhaustivos, así como señalar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57020" w:rsidRPr="00E57020" w:rsidRDefault="00E57020" w:rsidP="00E57020">
      <w:pPr>
        <w:spacing w:after="0" w:line="360" w:lineRule="auto"/>
        <w:ind w:left="720"/>
        <w:contextualSpacing/>
        <w:jc w:val="both"/>
        <w:rPr>
          <w:rFonts w:ascii="Palatino Linotype" w:hAnsi="Palatino Linotype"/>
          <w:sz w:val="24"/>
          <w:szCs w:val="24"/>
        </w:rPr>
      </w:pPr>
    </w:p>
    <w:p w:rsidR="00E57020" w:rsidRPr="00E57020" w:rsidRDefault="00E57020" w:rsidP="00FA169B">
      <w:pPr>
        <w:numPr>
          <w:ilvl w:val="0"/>
          <w:numId w:val="1"/>
        </w:numPr>
        <w:spacing w:after="0" w:line="360" w:lineRule="auto"/>
        <w:ind w:left="426" w:hanging="426"/>
        <w:contextualSpacing/>
        <w:jc w:val="both"/>
        <w:rPr>
          <w:rFonts w:ascii="Palatino Linotype" w:hAnsi="Palatino Linotype"/>
          <w:sz w:val="24"/>
          <w:szCs w:val="24"/>
        </w:rPr>
      </w:pPr>
      <w:r w:rsidRPr="00E57020">
        <w:rPr>
          <w:rFonts w:ascii="Palatino Linotype" w:eastAsia="Calibri" w:hAnsi="Palatino Linotype" w:cs="Arial"/>
          <w:sz w:val="24"/>
          <w:szCs w:val="24"/>
        </w:rPr>
        <w:t>T</w:t>
      </w:r>
      <w:r w:rsidRPr="00E57020">
        <w:rPr>
          <w:rFonts w:ascii="Palatino Linotype" w:eastAsia="Calibri" w:hAnsi="Palatino Linotype"/>
          <w:sz w:val="24"/>
          <w:szCs w:val="24"/>
        </w:rPr>
        <w:t>al circunstancia no puede tener como resultado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57020" w:rsidRPr="00E57020" w:rsidRDefault="00E57020" w:rsidP="00E57020">
      <w:pPr>
        <w:ind w:left="720"/>
        <w:contextualSpacing/>
        <w:rPr>
          <w:rFonts w:ascii="Palatino Linotype" w:hAnsi="Palatino Linotype" w:cs="Arial"/>
          <w:color w:val="000000" w:themeColor="text1"/>
          <w:sz w:val="24"/>
          <w:szCs w:val="24"/>
        </w:rPr>
      </w:pPr>
    </w:p>
    <w:p w:rsidR="00E57020" w:rsidRPr="00E57020" w:rsidRDefault="00E57020" w:rsidP="00FA169B">
      <w:pPr>
        <w:numPr>
          <w:ilvl w:val="0"/>
          <w:numId w:val="1"/>
        </w:numPr>
        <w:spacing w:after="0" w:line="360" w:lineRule="auto"/>
        <w:ind w:left="426" w:hanging="426"/>
        <w:contextualSpacing/>
        <w:jc w:val="both"/>
        <w:rPr>
          <w:rFonts w:ascii="Palatino Linotype" w:hAnsi="Palatino Linotype"/>
          <w:sz w:val="24"/>
          <w:szCs w:val="24"/>
        </w:rPr>
      </w:pPr>
      <w:r w:rsidRPr="00E57020">
        <w:rPr>
          <w:rFonts w:ascii="Palatino Linotype" w:hAnsi="Palatino Linotype" w:cs="Arial"/>
          <w:color w:val="000000" w:themeColor="text1"/>
          <w:sz w:val="24"/>
          <w:szCs w:val="24"/>
        </w:rPr>
        <w:t>Por lo tanto, la falta de entrega de la información que fue solicitada provoca una afectación al derecho de los particulares, en ese sentido, el deber de reparación de los Sujetos Obligados no solo debe versar en la entrega de la información, sino también, en cubrir los gastos de reproducción y envío, tal y como lo establece la Ley en materia, esto, a razón de disminuir el alto índice de negligencia por parte de las autoridades a atender solicitudes de información e incentivar a su vez, que los Sujetos Obligados cumplan con sus obligaciones que establece la Ley de Transparencia y Acceso a la información Pública del Estado de México y Municipios.</w:t>
      </w:r>
    </w:p>
    <w:p w:rsidR="00E57020" w:rsidRPr="00E57020" w:rsidRDefault="00E57020" w:rsidP="00E57020">
      <w:pPr>
        <w:ind w:left="720"/>
        <w:contextualSpacing/>
        <w:rPr>
          <w:rFonts w:ascii="Palatino Linotype" w:eastAsia="Calibri" w:hAnsi="Palatino Linotype" w:cs="Arial"/>
          <w:sz w:val="24"/>
          <w:szCs w:val="24"/>
        </w:rPr>
      </w:pPr>
    </w:p>
    <w:p w:rsidR="00E57020" w:rsidRPr="00E57020" w:rsidRDefault="00E57020" w:rsidP="00FA169B">
      <w:pPr>
        <w:numPr>
          <w:ilvl w:val="0"/>
          <w:numId w:val="1"/>
        </w:numPr>
        <w:spacing w:after="0" w:line="360" w:lineRule="auto"/>
        <w:ind w:left="426" w:hanging="426"/>
        <w:contextualSpacing/>
        <w:jc w:val="both"/>
        <w:rPr>
          <w:rFonts w:ascii="Palatino Linotype" w:hAnsi="Palatino Linotype"/>
          <w:sz w:val="24"/>
          <w:szCs w:val="24"/>
        </w:rPr>
      </w:pPr>
      <w:r w:rsidRPr="00E57020">
        <w:rPr>
          <w:rFonts w:ascii="Palatino Linotype" w:eastAsia="Calibri" w:hAnsi="Palatino Linotype" w:cs="Arial"/>
          <w:sz w:val="24"/>
          <w:szCs w:val="24"/>
        </w:rPr>
        <w:lastRenderedPageBreak/>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E57020" w:rsidRPr="00E57020" w:rsidRDefault="00E57020" w:rsidP="00E57020">
      <w:pPr>
        <w:ind w:left="720"/>
        <w:contextualSpacing/>
        <w:rPr>
          <w:rFonts w:ascii="Palatino Linotype" w:hAnsi="Palatino Linotype"/>
          <w:sz w:val="24"/>
          <w:szCs w:val="24"/>
        </w:rPr>
      </w:pPr>
    </w:p>
    <w:p w:rsidR="00E57020" w:rsidRPr="00FA169B" w:rsidRDefault="00E57020" w:rsidP="00FA169B">
      <w:pPr>
        <w:pStyle w:val="Prrafodelista"/>
        <w:keepNext/>
        <w:keepLines/>
        <w:numPr>
          <w:ilvl w:val="0"/>
          <w:numId w:val="10"/>
        </w:numPr>
        <w:spacing w:before="40" w:after="0"/>
        <w:outlineLvl w:val="1"/>
        <w:rPr>
          <w:rFonts w:ascii="Palatino Linotype" w:eastAsia="Calibri" w:hAnsi="Palatino Linotype" w:cstheme="majorBidi"/>
          <w:b/>
          <w:color w:val="000000" w:themeColor="text1"/>
          <w:sz w:val="24"/>
          <w:szCs w:val="24"/>
        </w:rPr>
      </w:pPr>
      <w:bookmarkStart w:id="12" w:name="_Toc491682718"/>
      <w:bookmarkStart w:id="13" w:name="_Toc532831829"/>
      <w:r w:rsidRPr="00FA169B">
        <w:rPr>
          <w:rFonts w:ascii="Palatino Linotype" w:eastAsia="Calibri" w:hAnsi="Palatino Linotype" w:cstheme="majorBidi"/>
          <w:b/>
          <w:color w:val="000000" w:themeColor="text1"/>
          <w:sz w:val="24"/>
          <w:szCs w:val="24"/>
        </w:rPr>
        <w:t>Conclusión.</w:t>
      </w:r>
      <w:bookmarkEnd w:id="12"/>
      <w:bookmarkEnd w:id="13"/>
    </w:p>
    <w:p w:rsidR="00E57020" w:rsidRPr="00E57020" w:rsidRDefault="00E57020" w:rsidP="00E57020">
      <w:pPr>
        <w:ind w:left="426" w:hanging="426"/>
        <w:contextualSpacing/>
        <w:rPr>
          <w:rFonts w:ascii="Palatino Linotype" w:eastAsia="Calibri" w:hAnsi="Palatino Linotype" w:cs="Arial"/>
          <w:sz w:val="24"/>
          <w:szCs w:val="24"/>
        </w:rPr>
      </w:pPr>
    </w:p>
    <w:p w:rsidR="00962571" w:rsidRPr="00E87325" w:rsidRDefault="00E57020" w:rsidP="00FA169B">
      <w:pPr>
        <w:pStyle w:val="Prrafodelista"/>
        <w:numPr>
          <w:ilvl w:val="0"/>
          <w:numId w:val="1"/>
        </w:numPr>
        <w:spacing w:after="0" w:line="360" w:lineRule="auto"/>
        <w:ind w:left="426" w:right="49" w:hanging="426"/>
        <w:jc w:val="both"/>
        <w:rPr>
          <w:rFonts w:ascii="Palatino Linotype" w:hAnsi="Palatino Linotype" w:cs="Arial"/>
          <w:color w:val="000000" w:themeColor="text1"/>
          <w:sz w:val="24"/>
          <w:szCs w:val="24"/>
        </w:rPr>
      </w:pPr>
      <w:r w:rsidRPr="00E57020">
        <w:rPr>
          <w:rFonts w:ascii="Palatino Linotype" w:hAnsi="Palatino Linotype" w:cs="Arial"/>
          <w:sz w:val="24"/>
          <w:szCs w:val="24"/>
        </w:rPr>
        <w:t xml:space="preserve">En atención a las consideraciones antes señaladas </w:t>
      </w:r>
      <w:r w:rsidR="0046455F" w:rsidRPr="00E87325">
        <w:rPr>
          <w:rFonts w:ascii="Palatino Linotype" w:hAnsi="Palatino Linotype" w:cs="Arial"/>
          <w:color w:val="000000" w:themeColor="text1"/>
          <w:sz w:val="24"/>
          <w:szCs w:val="24"/>
        </w:rPr>
        <w:t xml:space="preserve">que el currículum vitae debería de entregarse </w:t>
      </w:r>
      <w:r w:rsidR="0046455F" w:rsidRPr="00E87325">
        <w:rPr>
          <w:rFonts w:ascii="Palatino Linotype" w:hAnsi="Palatino Linotype" w:cs="Arial"/>
          <w:b/>
          <w:color w:val="000000" w:themeColor="text1"/>
          <w:sz w:val="24"/>
          <w:szCs w:val="24"/>
        </w:rPr>
        <w:t>sin testar, eliminar o suprimir la fotografía</w:t>
      </w:r>
      <w:r w:rsidR="0046455F" w:rsidRPr="00E87325">
        <w:rPr>
          <w:rFonts w:ascii="Palatino Linotype" w:hAnsi="Palatino Linotype" w:cs="Arial"/>
          <w:color w:val="000000" w:themeColor="text1"/>
          <w:sz w:val="24"/>
          <w:szCs w:val="24"/>
        </w:rPr>
        <w:t>, en los casos, en los que dicho documentos la incluya.</w:t>
      </w:r>
      <w:r w:rsidR="00962571" w:rsidRPr="00962571">
        <w:rPr>
          <w:rFonts w:ascii="Palatino Linotype" w:hAnsi="Palatino Linotype" w:cs="Arial"/>
          <w:color w:val="000000" w:themeColor="text1"/>
          <w:sz w:val="24"/>
          <w:szCs w:val="24"/>
        </w:rPr>
        <w:t xml:space="preserve"> </w:t>
      </w:r>
      <w:r w:rsidR="00962571" w:rsidRPr="00E87325">
        <w:rPr>
          <w:rFonts w:ascii="Palatino Linotype" w:hAnsi="Palatino Linotype" w:cs="Arial"/>
          <w:color w:val="000000" w:themeColor="text1"/>
          <w:sz w:val="24"/>
          <w:szCs w:val="24"/>
        </w:rPr>
        <w:t>Lo anterior porque se trata de un documento elaborada de manera ex profeso para acreditar la idoneidad o experiencia en el cargo público, porque los servidores públicos nos encontramos sujetos a un régimen de excepciones o de protección más limitado, restringido en razón de la naturaleza de la función pública en sí misma y del contenido de la propia información que se ha requerido y porque dicho documento se circunscribe directamente a la esfera de las actividades públicas que realiza la persona y no en el terreno de su intimidad.</w:t>
      </w:r>
    </w:p>
    <w:p w:rsidR="00962571" w:rsidRPr="00E87325" w:rsidRDefault="00962571" w:rsidP="00962571">
      <w:pPr>
        <w:pStyle w:val="Prrafodelista"/>
        <w:spacing w:after="0" w:line="360" w:lineRule="auto"/>
        <w:ind w:left="0"/>
        <w:jc w:val="both"/>
        <w:rPr>
          <w:rFonts w:ascii="Palatino Linotype" w:hAnsi="Palatino Linotype" w:cs="Arial"/>
          <w:color w:val="000000" w:themeColor="text1"/>
          <w:sz w:val="24"/>
          <w:szCs w:val="24"/>
        </w:rPr>
      </w:pPr>
    </w:p>
    <w:p w:rsidR="00962571" w:rsidRPr="00E87325" w:rsidRDefault="00962571" w:rsidP="00FA169B">
      <w:pPr>
        <w:pStyle w:val="Prrafodelista"/>
        <w:numPr>
          <w:ilvl w:val="0"/>
          <w:numId w:val="1"/>
        </w:numPr>
        <w:spacing w:after="0" w:line="360" w:lineRule="auto"/>
        <w:ind w:left="426" w:hanging="426"/>
        <w:jc w:val="both"/>
        <w:rPr>
          <w:rFonts w:ascii="Palatino Linotype" w:hAnsi="Palatino Linotype" w:cs="Arial"/>
          <w:color w:val="000000" w:themeColor="text1"/>
          <w:sz w:val="24"/>
          <w:szCs w:val="24"/>
        </w:rPr>
      </w:pPr>
      <w:r w:rsidRPr="00E87325">
        <w:rPr>
          <w:rFonts w:ascii="Palatino Linotype" w:hAnsi="Palatino Linotype" w:cs="Arial"/>
          <w:color w:val="000000" w:themeColor="text1"/>
          <w:sz w:val="24"/>
          <w:szCs w:val="24"/>
        </w:rPr>
        <w:t xml:space="preserve">De esta manera, la resolución adoptada por la mayoría, impide que </w:t>
      </w:r>
      <w:r w:rsidRPr="00E87325">
        <w:rPr>
          <w:rFonts w:ascii="Palatino Linotype" w:eastAsia="Times New Roman" w:hAnsi="Palatino Linotype" w:cs="Arial"/>
          <w:color w:val="000000" w:themeColor="text1"/>
          <w:sz w:val="24"/>
          <w:szCs w:val="24"/>
        </w:rPr>
        <w:t>se</w:t>
      </w:r>
      <w:r w:rsidRPr="00E87325">
        <w:rPr>
          <w:rFonts w:ascii="Palatino Linotype" w:hAnsi="Palatino Linotype" w:cs="Arial"/>
          <w:color w:val="000000" w:themeColor="text1"/>
          <w:sz w:val="24"/>
          <w:szCs w:val="24"/>
        </w:rPr>
        <w:t xml:space="preserve"> acceda de manera completa e íntegra a la información solicitada, por lo que el recurso de revisión, considerado como una garantía de reparación del derecho afectado por la respuesta generada por el Sujeto Obligado, ha sido inefectiva, en lo que a esta parte se refiere, Lo anterior  puede constituir una afectación adicional al derecho </w:t>
      </w:r>
      <w:r w:rsidRPr="00E87325">
        <w:rPr>
          <w:rFonts w:ascii="Palatino Linotype" w:hAnsi="Palatino Linotype" w:cs="Arial"/>
          <w:color w:val="000000" w:themeColor="text1"/>
          <w:sz w:val="24"/>
          <w:szCs w:val="24"/>
        </w:rPr>
        <w:lastRenderedPageBreak/>
        <w:t xml:space="preserve">de acceso a la información pública, ya que la resolución no observa el estándar interamericano de protección al derecho humano, lo que es de estricta y obligada observancia para este órgano garante que se ubica, una vez más, en rebeldía a los mismos provocando el riesgo de que, si el resto de las instituciones son inefectivas, el Estado Mexicano pueda ser declarado internacionalmente responsable de la violación de derechos convencionalmente protegidos. </w:t>
      </w:r>
    </w:p>
    <w:p w:rsidR="0046455F" w:rsidRPr="0046455F" w:rsidRDefault="0046455F" w:rsidP="00962571">
      <w:pPr>
        <w:spacing w:after="0" w:line="360" w:lineRule="auto"/>
        <w:ind w:left="426"/>
        <w:contextualSpacing/>
        <w:jc w:val="both"/>
        <w:rPr>
          <w:rFonts w:ascii="Palatino Linotype" w:hAnsi="Palatino Linotype" w:cs="Arial"/>
          <w:sz w:val="24"/>
          <w:szCs w:val="24"/>
        </w:rPr>
      </w:pPr>
    </w:p>
    <w:p w:rsidR="00E57020" w:rsidRPr="00E57020" w:rsidRDefault="00E57020" w:rsidP="00FA169B">
      <w:pPr>
        <w:numPr>
          <w:ilvl w:val="0"/>
          <w:numId w:val="1"/>
        </w:numPr>
        <w:spacing w:line="360" w:lineRule="auto"/>
        <w:ind w:left="426" w:hanging="426"/>
        <w:contextualSpacing/>
        <w:jc w:val="both"/>
        <w:rPr>
          <w:rFonts w:ascii="Palatino Linotype" w:eastAsia="Calibri" w:hAnsi="Palatino Linotype" w:cs="Arial"/>
          <w:sz w:val="24"/>
          <w:szCs w:val="24"/>
        </w:rPr>
      </w:pPr>
      <w:r w:rsidRPr="00E57020">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E57020" w:rsidRPr="00E57020" w:rsidRDefault="00E57020" w:rsidP="00E57020">
      <w:pPr>
        <w:keepNext/>
        <w:keepLines/>
        <w:spacing w:before="240" w:after="0"/>
        <w:outlineLvl w:val="0"/>
        <w:rPr>
          <w:rFonts w:asciiTheme="majorHAnsi" w:eastAsiaTheme="majorEastAsia" w:hAnsiTheme="majorHAnsi" w:cstheme="majorBidi"/>
          <w:color w:val="2E74B5" w:themeColor="accent1" w:themeShade="BF"/>
          <w:sz w:val="32"/>
          <w:szCs w:val="32"/>
        </w:rPr>
      </w:pPr>
    </w:p>
    <w:p w:rsidR="00E57020" w:rsidRPr="00E57020" w:rsidRDefault="00E57020" w:rsidP="00E57020">
      <w:pPr>
        <w:keepNext/>
        <w:keepLines/>
        <w:spacing w:before="240" w:after="0"/>
        <w:outlineLvl w:val="0"/>
        <w:rPr>
          <w:rFonts w:asciiTheme="majorHAnsi" w:eastAsiaTheme="majorEastAsia" w:hAnsiTheme="majorHAnsi" w:cstheme="majorBidi"/>
          <w:color w:val="2E74B5" w:themeColor="accent1" w:themeShade="BF"/>
          <w:sz w:val="32"/>
          <w:szCs w:val="32"/>
        </w:rPr>
      </w:pPr>
    </w:p>
    <w:p w:rsidR="00E57020" w:rsidRPr="00E57020" w:rsidRDefault="00E57020" w:rsidP="00E57020">
      <w:pPr>
        <w:spacing w:line="360" w:lineRule="auto"/>
        <w:rPr>
          <w:rFonts w:ascii="Palatino Linotype" w:hAnsi="Palatino Linotype" w:cs="Arial"/>
          <w:sz w:val="24"/>
          <w:szCs w:val="24"/>
        </w:rPr>
      </w:pPr>
    </w:p>
    <w:p w:rsidR="00E57020" w:rsidRPr="00E57020" w:rsidRDefault="00E57020" w:rsidP="00E57020">
      <w:pPr>
        <w:spacing w:line="360" w:lineRule="auto"/>
        <w:jc w:val="center"/>
        <w:rPr>
          <w:rFonts w:ascii="Palatino Linotype" w:eastAsia="Calibri" w:hAnsi="Palatino Linotype" w:cs="Arial"/>
          <w:b/>
          <w:sz w:val="24"/>
          <w:szCs w:val="24"/>
        </w:rPr>
      </w:pPr>
      <w:r w:rsidRPr="00E57020">
        <w:rPr>
          <w:rFonts w:ascii="Palatino Linotype" w:eastAsia="Calibri" w:hAnsi="Palatino Linotype" w:cs="Arial"/>
          <w:b/>
          <w:sz w:val="24"/>
          <w:szCs w:val="24"/>
        </w:rPr>
        <w:t>JOSÉ GUADALUPE LUNA HERNÁNDEZ</w:t>
      </w:r>
    </w:p>
    <w:p w:rsidR="00E57020" w:rsidRPr="00E57020" w:rsidRDefault="00E57020" w:rsidP="00E57020">
      <w:pPr>
        <w:spacing w:line="360" w:lineRule="auto"/>
        <w:jc w:val="center"/>
        <w:rPr>
          <w:rFonts w:ascii="Palatino Linotype" w:eastAsia="Calibri" w:hAnsi="Palatino Linotype" w:cs="Arial"/>
          <w:b/>
          <w:sz w:val="24"/>
          <w:szCs w:val="24"/>
        </w:rPr>
      </w:pPr>
      <w:r w:rsidRPr="00E57020">
        <w:rPr>
          <w:rFonts w:ascii="Palatino Linotype" w:eastAsia="Calibri" w:hAnsi="Palatino Linotype" w:cs="Arial"/>
          <w:b/>
          <w:sz w:val="24"/>
          <w:szCs w:val="24"/>
        </w:rPr>
        <w:t>COMISIONADO</w:t>
      </w:r>
    </w:p>
    <w:p w:rsidR="00E57020" w:rsidRPr="00E57020" w:rsidRDefault="00E57020" w:rsidP="00E57020">
      <w:pPr>
        <w:spacing w:line="360" w:lineRule="auto"/>
        <w:jc w:val="center"/>
        <w:rPr>
          <w:rFonts w:ascii="Palatino Linotype" w:hAnsi="Palatino Linotype"/>
          <w:b/>
          <w:sz w:val="24"/>
          <w:szCs w:val="24"/>
        </w:rPr>
      </w:pPr>
      <w:r w:rsidRPr="00E57020">
        <w:rPr>
          <w:rFonts w:ascii="Palatino Linotype" w:eastAsia="Calibri" w:hAnsi="Palatino Linotype" w:cs="Arial"/>
          <w:b/>
          <w:sz w:val="24"/>
          <w:szCs w:val="24"/>
        </w:rPr>
        <w:t>(Rúbrica)</w:t>
      </w:r>
    </w:p>
    <w:p w:rsidR="00E57020" w:rsidRPr="00E57020" w:rsidRDefault="00E57020" w:rsidP="00E57020">
      <w:pPr>
        <w:spacing w:line="360" w:lineRule="auto"/>
        <w:ind w:left="426" w:hanging="426"/>
        <w:rPr>
          <w:rFonts w:ascii="Palatino Linotype" w:hAnsi="Palatino Linotype"/>
          <w:b/>
          <w:sz w:val="24"/>
          <w:szCs w:val="24"/>
        </w:rPr>
      </w:pPr>
      <w:r w:rsidRPr="00E57020">
        <w:rPr>
          <w:rFonts w:ascii="Palatino Linotype" w:hAnsi="Palatino Linotype"/>
          <w:b/>
          <w:sz w:val="24"/>
          <w:szCs w:val="24"/>
        </w:rPr>
        <w:t xml:space="preserve">JGLH/MSA.  </w:t>
      </w:r>
    </w:p>
    <w:p w:rsidR="00E57020" w:rsidRPr="00E57020" w:rsidRDefault="00E57020" w:rsidP="00E57020"/>
    <w:p w:rsidR="00EC197B" w:rsidRDefault="00EC197B"/>
    <w:sectPr w:rsidR="00EC197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1CA" w:rsidRDefault="00FD61CA" w:rsidP="00E57020">
      <w:pPr>
        <w:spacing w:after="0" w:line="240" w:lineRule="auto"/>
      </w:pPr>
      <w:r>
        <w:separator/>
      </w:r>
    </w:p>
  </w:endnote>
  <w:endnote w:type="continuationSeparator" w:id="0">
    <w:p w:rsidR="00FD61CA" w:rsidRDefault="00FD61CA" w:rsidP="00E57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1CA" w:rsidRDefault="00FD61CA" w:rsidP="00E57020">
      <w:pPr>
        <w:spacing w:after="0" w:line="240" w:lineRule="auto"/>
      </w:pPr>
      <w:r>
        <w:separator/>
      </w:r>
    </w:p>
  </w:footnote>
  <w:footnote w:type="continuationSeparator" w:id="0">
    <w:p w:rsidR="00FD61CA" w:rsidRDefault="00FD61CA" w:rsidP="00E57020">
      <w:pPr>
        <w:spacing w:after="0" w:line="240" w:lineRule="auto"/>
      </w:pPr>
      <w:r>
        <w:continuationSeparator/>
      </w:r>
    </w:p>
  </w:footnote>
  <w:footnote w:id="1">
    <w:p w:rsidR="00D75242" w:rsidRPr="00E76C58" w:rsidRDefault="00D75242" w:rsidP="00D75242">
      <w:pPr>
        <w:pStyle w:val="Textonotapie"/>
        <w:jc w:val="both"/>
        <w:rPr>
          <w:rFonts w:ascii="Arial" w:hAnsi="Arial" w:cs="Arial"/>
        </w:rPr>
      </w:pPr>
      <w:r w:rsidRPr="00E76C58">
        <w:rPr>
          <w:rStyle w:val="Refdenotaalpie"/>
          <w:rFonts w:ascii="Arial" w:hAnsi="Arial" w:cs="Arial"/>
        </w:rPr>
        <w:footnoteRef/>
      </w:r>
      <w:r w:rsidRPr="00E76C58">
        <w:rPr>
          <w:rFonts w:ascii="Arial" w:hAnsi="Arial" w:cs="Arial"/>
        </w:rPr>
        <w:t xml:space="preserve"> “En este contexto es lógico y apropiado que las expresiones concernientes a funcionarios públicos o a otras personas que ejercen funciones de una naturaleza pública </w:t>
      </w:r>
      <w:r w:rsidRPr="00E76C58">
        <w:rPr>
          <w:rFonts w:ascii="Arial" w:hAnsi="Arial" w:cs="Arial"/>
          <w:b/>
        </w:rPr>
        <w:t>deben gozar,</w:t>
      </w:r>
      <w:r w:rsidRPr="00E76C58">
        <w:rPr>
          <w:rFonts w:ascii="Arial" w:hAnsi="Arial" w:cs="Arial"/>
        </w:rPr>
        <w:t xml:space="preserve"> en los términos del artículo 13.2 de la Convención, </w:t>
      </w:r>
      <w:r w:rsidRPr="00E76C58">
        <w:rPr>
          <w:rFonts w:ascii="Arial" w:hAnsi="Arial" w:cs="Arial"/>
          <w:b/>
        </w:rPr>
        <w:t>de un margen de apertura</w:t>
      </w:r>
      <w:r w:rsidRPr="00E76C58">
        <w:rPr>
          <w:rFonts w:ascii="Arial" w:hAnsi="Arial" w:cs="Arial"/>
        </w:rPr>
        <w:t xml:space="preserve"> a un debate amplio respecto de asuntos de interés público, el cual es esencial para el funcionamiento de un sistema verdaderamente democrático. Esto no significa, de modo alguno, que el honor de los funcionarios públicos o de las personas públicas no deba ser jurídicamente protegido, sino que éste debe serlo de manera acorde con los principios del pluralismo democrático. </w:t>
      </w:r>
    </w:p>
    <w:p w:rsidR="00D75242" w:rsidRPr="00E76C58" w:rsidRDefault="00D75242" w:rsidP="00D75242">
      <w:pPr>
        <w:pStyle w:val="Textonotapie"/>
        <w:jc w:val="both"/>
        <w:rPr>
          <w:rFonts w:ascii="Arial" w:hAnsi="Arial" w:cs="Arial"/>
        </w:rPr>
      </w:pPr>
      <w:r w:rsidRPr="00E76C58">
        <w:rPr>
          <w:rFonts w:ascii="Arial" w:hAnsi="Arial" w:cs="Arial"/>
        </w:rPr>
        <w:t xml:space="preserve">“Es así que el acento de </w:t>
      </w:r>
      <w:r w:rsidRPr="00E76C58">
        <w:rPr>
          <w:rFonts w:ascii="Arial" w:hAnsi="Arial" w:cs="Arial"/>
          <w:b/>
        </w:rPr>
        <w:t>este umbral diferente de protección no se asienta en la calidad del sujeto, sino en el carácter de interés público que conllevan las actividades o actuaciones de una persona determinada.</w:t>
      </w:r>
      <w:r w:rsidRPr="00E76C58">
        <w:rPr>
          <w:rFonts w:ascii="Arial" w:hAnsi="Arial" w:cs="Arial"/>
        </w:rPr>
        <w:t xml:space="preserve"> Aquellas personas que influyen en cuestiones de interés público se han expuesto voluntariamente a un escrutinio público más exigente y, consecuentemente, se ven expuestos a un mayor riesgo de sufrir críticas, ya que </w:t>
      </w:r>
      <w:r w:rsidRPr="00E76C58">
        <w:rPr>
          <w:rFonts w:ascii="Arial" w:hAnsi="Arial" w:cs="Arial"/>
          <w:b/>
        </w:rPr>
        <w:t xml:space="preserve">sus actividades salen del dominio de la esfera privada para insertarse en la esfera del debate público”. </w:t>
      </w:r>
      <w:r w:rsidRPr="00E76C58">
        <w:rPr>
          <w:rFonts w:ascii="Arial" w:hAnsi="Arial" w:cs="Arial"/>
        </w:rPr>
        <w:t xml:space="preserve">Corte Interamericana de Derechos Humanos. Caso Herrera Ulloa vs. Costa Rica. Sentencia del 2 de julio de 2004. Serie C No. 107. Párrs. 128 y 129. </w:t>
      </w:r>
    </w:p>
    <w:p w:rsidR="00D75242" w:rsidRPr="00E76C58" w:rsidRDefault="00D75242" w:rsidP="00D75242">
      <w:pPr>
        <w:pStyle w:val="Textonotapie"/>
        <w:jc w:val="both"/>
        <w:rPr>
          <w:rFonts w:ascii="Arial" w:hAnsi="Arial" w:cs="Arial"/>
        </w:rPr>
      </w:pPr>
      <w:r w:rsidRPr="00E76C58">
        <w:rPr>
          <w:rFonts w:ascii="Arial" w:hAnsi="Arial" w:cs="Arial"/>
        </w:rPr>
        <w:t>“1. Recomendaciones a los Estados:</w:t>
      </w:r>
    </w:p>
    <w:p w:rsidR="00D75242" w:rsidRPr="00E76C58" w:rsidRDefault="00D75242" w:rsidP="00D75242">
      <w:pPr>
        <w:pStyle w:val="Textonotapie"/>
        <w:jc w:val="both"/>
        <w:rPr>
          <w:rFonts w:ascii="Arial" w:hAnsi="Arial" w:cs="Arial"/>
        </w:rPr>
      </w:pPr>
      <w:r w:rsidRPr="00E76C58">
        <w:rPr>
          <w:rFonts w:ascii="Arial" w:hAnsi="Arial" w:cs="Arial"/>
        </w:rPr>
        <w:t>…</w:t>
      </w:r>
    </w:p>
    <w:p w:rsidR="00D75242" w:rsidRPr="00E76C58" w:rsidRDefault="00D75242" w:rsidP="00D75242">
      <w:pPr>
        <w:pStyle w:val="Textonotapie"/>
        <w:jc w:val="both"/>
        <w:rPr>
          <w:rFonts w:ascii="Arial" w:hAnsi="Arial" w:cs="Arial"/>
        </w:rPr>
      </w:pPr>
      <w:r w:rsidRPr="00E76C58">
        <w:rPr>
          <w:rFonts w:ascii="Arial" w:hAnsi="Arial" w:cs="Arial"/>
        </w:rPr>
        <w:t xml:space="preserve">“e. Existe un núcleo de libertad de expresión respecto del cual los Estados no tienen potestad alguna o tan solo una facultad extremadamente limitada de adoptar restricciones que permitan tomar en cuenta las tradiciones, la cultura y los valores locales y esto incluye en particular el discurso político en un sentido amplio, en vista del carácter trascendental de dicho discurso para la democracia y el respeto de todos los derechos humanos, </w:t>
      </w:r>
      <w:r w:rsidRPr="00E76C58">
        <w:rPr>
          <w:rFonts w:ascii="Arial" w:hAnsi="Arial" w:cs="Arial"/>
          <w:b/>
        </w:rPr>
        <w:t xml:space="preserve">lo cual implica que las figuras públicas deberían aceptar un mayor grado de escrutinio por la sociedad”. </w:t>
      </w:r>
      <w:r w:rsidRPr="00E76C58">
        <w:rPr>
          <w:rFonts w:ascii="Arial" w:hAnsi="Arial" w:cs="Arial"/>
        </w:rPr>
        <w:t>“Declaración Conjunta sobre universalidad y el derecho a la libertad de expresión”. Relatoría Especial de las Naciones Unidas para la Libertad de Opinión y Expresión, de la Representante para la Libertad de los Medios de Comunicación de la Organización para la Seguridad y la Cooperación en Europa, la Relatora Especial de la OEA para la Libertad de Expresión y la Relatora Especial sobre Libertad de Expresión y Acceso a la Información de la Comisión Africana de Derechos Humanos y de los Pueblos. 2014.,</w:t>
      </w:r>
    </w:p>
  </w:footnote>
  <w:footnote w:id="2">
    <w:p w:rsidR="00D75242" w:rsidRPr="00E76C58" w:rsidRDefault="00D75242" w:rsidP="00D75242">
      <w:pPr>
        <w:pStyle w:val="Textonotapie"/>
        <w:jc w:val="both"/>
        <w:rPr>
          <w:rFonts w:ascii="Arial" w:hAnsi="Arial" w:cs="Arial"/>
        </w:rPr>
      </w:pPr>
      <w:r w:rsidRPr="00E76C58">
        <w:rPr>
          <w:rStyle w:val="Refdenotaalpie"/>
          <w:rFonts w:ascii="Arial" w:hAnsi="Arial" w:cs="Arial"/>
        </w:rPr>
        <w:footnoteRef/>
      </w:r>
      <w:r w:rsidRPr="00E76C58">
        <w:rPr>
          <w:rFonts w:ascii="Arial" w:hAnsi="Arial" w:cs="Arial"/>
        </w:rPr>
        <w:t xml:space="preserve"> “En consecuencia, las expresiones, </w:t>
      </w:r>
      <w:r w:rsidRPr="00E76C58">
        <w:rPr>
          <w:rFonts w:ascii="Arial" w:hAnsi="Arial" w:cs="Arial"/>
          <w:b/>
        </w:rPr>
        <w:t>informaciones</w:t>
      </w:r>
      <w:r w:rsidRPr="00E76C58">
        <w:rPr>
          <w:rFonts w:ascii="Arial" w:hAnsi="Arial" w:cs="Arial"/>
        </w:rPr>
        <w:t xml:space="preserve"> y opiniones atinentes a asuntos de interés público, al Estado y a sus instituciones, gozan de mayor protección bajo la Convención Americana, lo cual implica que el Estado debe abstenerse con mayor rigor de establecer limitaciones a estas formas de expresión, y que las entidades y funcionarios que conforman el Estado, así como quienes aspiran a ocupar cargos públicos, </w:t>
      </w:r>
      <w:r w:rsidRPr="00E76C58">
        <w:rPr>
          <w:rFonts w:ascii="Arial" w:hAnsi="Arial" w:cs="Arial"/>
          <w:b/>
        </w:rPr>
        <w:t>en razón de la naturaleza pública de las funciones que cumplen, deben tener un mayor umbral de tolerancia ante la crítica”.</w:t>
      </w:r>
      <w:r w:rsidRPr="00E76C58">
        <w:rPr>
          <w:rFonts w:ascii="Arial" w:hAnsi="Arial" w:cs="Arial"/>
        </w:rPr>
        <w:t xml:space="preserve"> Relatoría Especial para la Libertad de Expresión. Comisión Interamericana de Derechos Humanos. Marco Jurídico interamericano sobre el derecho a la libertad de expresión. OEA, 2010. Párr. 35. “Dado que las expresio0nes e </w:t>
      </w:r>
      <w:r w:rsidRPr="00E76C58">
        <w:rPr>
          <w:rFonts w:ascii="Arial" w:hAnsi="Arial" w:cs="Arial"/>
          <w:b/>
        </w:rPr>
        <w:t>informaciones</w:t>
      </w:r>
      <w:r w:rsidRPr="00E76C58">
        <w:rPr>
          <w:rFonts w:ascii="Arial" w:hAnsi="Arial" w:cs="Arial"/>
        </w:rPr>
        <w:t xml:space="preserve"> atinentes a los funcionarios públicos, a particulares involucrados voluntariamente en asuntos públicos, y a candidatos a ocupar cargos públicos, gozan de un mayor grado de protección, el Estado debe abstenerse en mayor grado de imponer limitaciones a estas formas de expresión”.  Ibídem. Párr. 41. </w:t>
      </w:r>
    </w:p>
  </w:footnote>
  <w:footnote w:id="3">
    <w:p w:rsidR="00D75242" w:rsidRPr="00E76C58" w:rsidRDefault="00D75242" w:rsidP="00D75242">
      <w:pPr>
        <w:pStyle w:val="Textonotapie"/>
        <w:jc w:val="both"/>
        <w:rPr>
          <w:rFonts w:ascii="Arial" w:hAnsi="Arial" w:cs="Arial"/>
        </w:rPr>
      </w:pPr>
      <w:r w:rsidRPr="00E76C58">
        <w:rPr>
          <w:rStyle w:val="Refdenotaalpie"/>
          <w:rFonts w:ascii="Arial" w:hAnsi="Arial" w:cs="Arial"/>
        </w:rPr>
        <w:footnoteRef/>
      </w:r>
      <w:r w:rsidRPr="00E76C58">
        <w:rPr>
          <w:rFonts w:ascii="Arial" w:hAnsi="Arial" w:cs="Arial"/>
        </w:rPr>
        <w:t xml:space="preserve"> “La gestión pública y los asuntos de interés común deben de ser objeto de control por la sociedad en su conjunto. El control democrático de la gestión pública, a través de la opinión pública, fomenta la transparencia de las actividades del Estado ya la responsabilidad de los funcionarios públicos sobre sus actuaciones, y es un medio para lograr el máximo nivel de participación ciudadana. De allí que el adecuado desenvolvimiento de la democracia requiera la mayor circulación de informes, opiniones e ideas sobre los asuntos públicos”. Ibídem. Párr. 33. </w:t>
      </w:r>
    </w:p>
  </w:footnote>
  <w:footnote w:id="4">
    <w:p w:rsidR="00D75242" w:rsidRPr="00E76C58" w:rsidRDefault="00D75242" w:rsidP="00D75242">
      <w:pPr>
        <w:pStyle w:val="Textonotapie"/>
        <w:jc w:val="both"/>
        <w:rPr>
          <w:rFonts w:ascii="Arial" w:hAnsi="Arial" w:cs="Arial"/>
        </w:rPr>
      </w:pPr>
      <w:r w:rsidRPr="00E76C58">
        <w:rPr>
          <w:rStyle w:val="Refdenotaalpie"/>
          <w:rFonts w:ascii="Arial" w:hAnsi="Arial" w:cs="Arial"/>
        </w:rPr>
        <w:footnoteRef/>
      </w:r>
      <w:r w:rsidRPr="00E76C58">
        <w:rPr>
          <w:rFonts w:ascii="Arial" w:hAnsi="Arial" w:cs="Arial"/>
        </w:rPr>
        <w:t xml:space="preserve"> Esto ocurrió en el caso de la Corte Suprema de Canadá: Informatio Comissioner of Canadé v. Comissioner of the Royal Canadian Mountain Police, 1 S.C.R. 66 (2003) mediante la cual si bien se reconoció el historial laboral como información personal, también se señaló que la sección 3 (j) de la Ley de Privacidad establece que es posible acceder a esa “información sobre individuos </w:t>
      </w:r>
      <w:r w:rsidRPr="00E76C58">
        <w:rPr>
          <w:rFonts w:ascii="Arial" w:hAnsi="Arial" w:cs="Arial"/>
          <w:b/>
        </w:rPr>
        <w:t xml:space="preserve">que son o haya sido oficiales o empleados de una institución gubernamental”. </w:t>
      </w:r>
    </w:p>
  </w:footnote>
  <w:footnote w:id="5">
    <w:p w:rsidR="00D75242" w:rsidRPr="00E76C58" w:rsidRDefault="00D75242" w:rsidP="00D75242">
      <w:pPr>
        <w:pStyle w:val="Textonotapie"/>
        <w:jc w:val="both"/>
        <w:rPr>
          <w:rFonts w:ascii="Arial" w:hAnsi="Arial" w:cs="Arial"/>
        </w:rPr>
      </w:pPr>
      <w:r w:rsidRPr="00E76C58">
        <w:rPr>
          <w:rStyle w:val="Refdenotaalpie"/>
          <w:rFonts w:ascii="Arial" w:hAnsi="Arial" w:cs="Arial"/>
        </w:rPr>
        <w:footnoteRef/>
      </w:r>
      <w:r w:rsidRPr="00E76C58">
        <w:rPr>
          <w:rFonts w:ascii="Arial" w:hAnsi="Arial" w:cs="Arial"/>
        </w:rPr>
        <w:t xml:space="preserve"> SAGÜÉS, Néstor Pedro. </w:t>
      </w:r>
      <w:r w:rsidRPr="00E76C58">
        <w:rPr>
          <w:rFonts w:ascii="Arial" w:hAnsi="Arial" w:cs="Arial"/>
          <w:i/>
        </w:rPr>
        <w:t>La interpretación judicial de la Constitución. De la Constitución nacional a la Constitución convencionalizada.</w:t>
      </w:r>
      <w:r w:rsidRPr="00E76C58">
        <w:rPr>
          <w:rFonts w:ascii="Arial" w:hAnsi="Arial" w:cs="Arial"/>
        </w:rPr>
        <w:t xml:space="preserve"> México, Coed. Porrúa e Instituto Mexicano de Derecho Procesal Constitucional. 2013. Págs. 263 y 264.</w:t>
      </w:r>
    </w:p>
  </w:footnote>
  <w:footnote w:id="6">
    <w:p w:rsidR="00D75242" w:rsidRPr="00E76C58" w:rsidRDefault="00D75242" w:rsidP="00D75242">
      <w:pPr>
        <w:pStyle w:val="Textonotapie"/>
        <w:jc w:val="both"/>
        <w:rPr>
          <w:rFonts w:ascii="Arial" w:hAnsi="Arial" w:cs="Arial"/>
        </w:rPr>
      </w:pPr>
      <w:r w:rsidRPr="00E76C58">
        <w:rPr>
          <w:rStyle w:val="Refdenotaalpie"/>
          <w:rFonts w:ascii="Arial" w:hAnsi="Arial" w:cs="Arial"/>
        </w:rPr>
        <w:footnoteRef/>
      </w:r>
      <w:r w:rsidRPr="00E76C58">
        <w:rPr>
          <w:rFonts w:ascii="Arial" w:hAnsi="Arial" w:cs="Arial"/>
        </w:rPr>
        <w:t xml:space="preserve"> La versión en español de la resolución se obtiene de ALÁEZ CORRAL, Benito y ÁLVAREZ ÁLVAREZ, Leonardo. </w:t>
      </w:r>
      <w:r w:rsidRPr="00E76C58">
        <w:rPr>
          <w:rFonts w:ascii="Arial" w:hAnsi="Arial" w:cs="Arial"/>
          <w:i/>
        </w:rPr>
        <w:t>Las decisiones básicas del Tribunal Constitucional Federal Alemán en las encrucijadas del cambio de milenio</w:t>
      </w:r>
      <w:r w:rsidRPr="00E76C58">
        <w:rPr>
          <w:rFonts w:ascii="Arial" w:hAnsi="Arial" w:cs="Arial"/>
        </w:rPr>
        <w:t>. Madrid. Coed. Centro de Estudios Políticos y Constitucionales y Boletín Oficial Español. 2008. Págs. 179 y 180.</w:t>
      </w:r>
    </w:p>
  </w:footnote>
  <w:footnote w:id="7">
    <w:p w:rsidR="00D75242" w:rsidRPr="00E76C58" w:rsidRDefault="00D75242" w:rsidP="00D75242">
      <w:pPr>
        <w:pStyle w:val="Textonotapie"/>
        <w:jc w:val="both"/>
        <w:rPr>
          <w:rFonts w:ascii="Arial" w:hAnsi="Arial" w:cs="Arial"/>
        </w:rPr>
      </w:pPr>
      <w:r w:rsidRPr="00E76C58">
        <w:rPr>
          <w:rStyle w:val="Refdenotaalpie"/>
          <w:rFonts w:ascii="Arial" w:hAnsi="Arial" w:cs="Arial"/>
        </w:rPr>
        <w:footnoteRef/>
      </w:r>
      <w:r w:rsidRPr="00E76C58">
        <w:rPr>
          <w:rFonts w:ascii="Arial" w:hAnsi="Arial" w:cs="Arial"/>
        </w:rPr>
        <w:t xml:space="preserve"> La versión en español de la sentencia puede consultarse en SARMIENTO, Daniel et al. </w:t>
      </w:r>
      <w:r w:rsidRPr="00E76C58">
        <w:rPr>
          <w:rFonts w:ascii="Arial" w:hAnsi="Arial" w:cs="Arial"/>
          <w:i/>
        </w:rPr>
        <w:t>Las sentencias básicas del Tribunal Europeo de Derechos Humanos. Estudio y Jurisprudencia</w:t>
      </w:r>
      <w:r w:rsidRPr="00E76C58">
        <w:rPr>
          <w:rFonts w:ascii="Arial" w:hAnsi="Arial" w:cs="Arial"/>
        </w:rPr>
        <w:t>. Navarra. Coed. Thomson y Civitas, 2007. Pág. 465.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0C55"/>
    <w:multiLevelType w:val="hybridMultilevel"/>
    <w:tmpl w:val="EEE0C306"/>
    <w:lvl w:ilvl="0" w:tplc="B19A05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659B2"/>
    <w:multiLevelType w:val="hybridMultilevel"/>
    <w:tmpl w:val="F38277C6"/>
    <w:lvl w:ilvl="0" w:tplc="FD3EC1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971BAA"/>
    <w:multiLevelType w:val="hybridMultilevel"/>
    <w:tmpl w:val="B896F394"/>
    <w:lvl w:ilvl="0" w:tplc="080A000B">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
    <w:nsid w:val="2B8E2722"/>
    <w:multiLevelType w:val="hybridMultilevel"/>
    <w:tmpl w:val="635631EC"/>
    <w:lvl w:ilvl="0" w:tplc="FBD819D0">
      <w:start w:val="1"/>
      <w:numFmt w:val="decimal"/>
      <w:lvlText w:val="%1."/>
      <w:lvlJc w:val="left"/>
      <w:pPr>
        <w:ind w:left="36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601C4A"/>
    <w:multiLevelType w:val="hybridMultilevel"/>
    <w:tmpl w:val="D76E18E4"/>
    <w:lvl w:ilvl="0" w:tplc="5B9A86D4">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38CE68CC"/>
    <w:multiLevelType w:val="hybridMultilevel"/>
    <w:tmpl w:val="80469AD2"/>
    <w:lvl w:ilvl="0" w:tplc="B438507E">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09A0626"/>
    <w:multiLevelType w:val="hybridMultilevel"/>
    <w:tmpl w:val="684497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9EC02BD"/>
    <w:multiLevelType w:val="hybridMultilevel"/>
    <w:tmpl w:val="299E0A38"/>
    <w:lvl w:ilvl="0" w:tplc="2304ACBC">
      <w:start w:val="2"/>
      <w:numFmt w:val="upperRoman"/>
      <w:lvlText w:val="%1."/>
      <w:lvlJc w:val="left"/>
      <w:pPr>
        <w:ind w:left="862"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6B956FC1"/>
    <w:multiLevelType w:val="hybridMultilevel"/>
    <w:tmpl w:val="3A425FC2"/>
    <w:lvl w:ilvl="0" w:tplc="EDB00FD2">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E4B5BAA"/>
    <w:multiLevelType w:val="hybridMultilevel"/>
    <w:tmpl w:val="53DC9B4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4"/>
  </w:num>
  <w:num w:numId="2">
    <w:abstractNumId w:val="2"/>
  </w:num>
  <w:num w:numId="3">
    <w:abstractNumId w:val="1"/>
  </w:num>
  <w:num w:numId="4">
    <w:abstractNumId w:val="5"/>
  </w:num>
  <w:num w:numId="5">
    <w:abstractNumId w:val="10"/>
  </w:num>
  <w:num w:numId="6">
    <w:abstractNumId w:val="3"/>
  </w:num>
  <w:num w:numId="7">
    <w:abstractNumId w:val="7"/>
  </w:num>
  <w:num w:numId="8">
    <w:abstractNumId w:val="9"/>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020"/>
    <w:rsid w:val="00111D66"/>
    <w:rsid w:val="00266525"/>
    <w:rsid w:val="0046455F"/>
    <w:rsid w:val="00625761"/>
    <w:rsid w:val="0075314D"/>
    <w:rsid w:val="00962571"/>
    <w:rsid w:val="00D32E0A"/>
    <w:rsid w:val="00D75242"/>
    <w:rsid w:val="00E57020"/>
    <w:rsid w:val="00EC197B"/>
    <w:rsid w:val="00FA169B"/>
    <w:rsid w:val="00FD61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A06BE-7E08-4F1E-8649-B17E9A40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57020"/>
    <w:pPr>
      <w:spacing w:after="0" w:line="240" w:lineRule="auto"/>
    </w:pPr>
    <w:rPr>
      <w:sz w:val="20"/>
      <w:szCs w:val="20"/>
    </w:rPr>
  </w:style>
  <w:style w:type="character" w:customStyle="1" w:styleId="TextonotapieCar">
    <w:name w:val="Texto nota pie Car"/>
    <w:basedOn w:val="Fuentedeprrafopredeter"/>
    <w:link w:val="Textonotapie"/>
    <w:uiPriority w:val="99"/>
    <w:rsid w:val="00E57020"/>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57020"/>
    <w:rPr>
      <w:vertAlign w:val="superscript"/>
    </w:rPr>
  </w:style>
  <w:style w:type="paragraph" w:styleId="Prrafodelista">
    <w:name w:val="List Paragraph"/>
    <w:basedOn w:val="Normal"/>
    <w:link w:val="PrrafodelistaCar"/>
    <w:uiPriority w:val="34"/>
    <w:qFormat/>
    <w:rsid w:val="00625761"/>
    <w:pPr>
      <w:ind w:left="720"/>
      <w:contextualSpacing/>
    </w:pPr>
  </w:style>
  <w:style w:type="character" w:customStyle="1" w:styleId="PrrafodelistaCar">
    <w:name w:val="Párrafo de lista Car"/>
    <w:link w:val="Prrafodelista"/>
    <w:uiPriority w:val="34"/>
    <w:locked/>
    <w:rsid w:val="00D75242"/>
  </w:style>
  <w:style w:type="paragraph" w:styleId="TDC1">
    <w:name w:val="toc 1"/>
    <w:basedOn w:val="Normal"/>
    <w:next w:val="Normal"/>
    <w:autoRedefine/>
    <w:uiPriority w:val="39"/>
    <w:unhideWhenUsed/>
    <w:rsid w:val="00FA169B"/>
    <w:pPr>
      <w:spacing w:after="100"/>
    </w:pPr>
  </w:style>
  <w:style w:type="paragraph" w:styleId="TDC2">
    <w:name w:val="toc 2"/>
    <w:basedOn w:val="Normal"/>
    <w:next w:val="Normal"/>
    <w:autoRedefine/>
    <w:uiPriority w:val="39"/>
    <w:unhideWhenUsed/>
    <w:rsid w:val="00FA169B"/>
    <w:pPr>
      <w:spacing w:after="100"/>
      <w:ind w:left="220"/>
    </w:pPr>
  </w:style>
  <w:style w:type="character" w:styleId="Hipervnculo">
    <w:name w:val="Hyperlink"/>
    <w:basedOn w:val="Fuentedeprrafopredeter"/>
    <w:uiPriority w:val="99"/>
    <w:unhideWhenUsed/>
    <w:rsid w:val="00FA16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19</Pages>
  <Words>4271</Words>
  <Characters>23494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dcterms:created xsi:type="dcterms:W3CDTF">2018-12-17T22:36:00Z</dcterms:created>
  <dcterms:modified xsi:type="dcterms:W3CDTF">2019-01-30T01:29:00Z</dcterms:modified>
</cp:coreProperties>
</file>